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宋体" w:hAnsi="宋体" w:eastAsia="宋体" w:cs="宋体"/>
        </w:rPr>
      </w:pPr>
      <w:r>
        <w:rPr>
          <w:rFonts w:hint="eastAsia" w:ascii="黑体" w:hAnsi="黑体" w:eastAsia="黑体" w:cs="黑体"/>
          <w:b/>
          <w:bCs/>
          <w:sz w:val="36"/>
          <w:szCs w:val="36"/>
        </w:rPr>
        <w:t>全国职业院校科普卫星研制工程邀请赛规则</w:t>
      </w:r>
    </w:p>
    <w:p>
      <w:pPr>
        <w:spacing w:line="560" w:lineRule="exact"/>
        <w:ind w:firstLine="602" w:firstLineChars="200"/>
        <w:rPr>
          <w:rFonts w:ascii="仿宋" w:hAnsi="仿宋" w:eastAsia="仿宋" w:cs="仿宋"/>
          <w:b/>
          <w:bCs/>
          <w:sz w:val="30"/>
          <w:szCs w:val="30"/>
        </w:rPr>
      </w:pPr>
    </w:p>
    <w:p>
      <w:pPr>
        <w:spacing w:line="560" w:lineRule="exact"/>
        <w:ind w:firstLine="600" w:firstLineChars="200"/>
        <w:outlineLvl w:val="0"/>
        <w:rPr>
          <w:rFonts w:ascii="黑体" w:hAnsi="黑体" w:eastAsia="黑体" w:cs="黑体"/>
          <w:sz w:val="30"/>
          <w:szCs w:val="30"/>
        </w:rPr>
      </w:pPr>
      <w:r>
        <w:rPr>
          <w:rFonts w:hint="eastAsia" w:ascii="黑体" w:hAnsi="黑体" w:eastAsia="黑体" w:cs="黑体"/>
          <w:sz w:val="30"/>
          <w:szCs w:val="30"/>
        </w:rPr>
        <w:t>一、竞赛目的</w:t>
      </w:r>
    </w:p>
    <w:p>
      <w:pPr>
        <w:snapToGrid w:val="0"/>
        <w:spacing w:line="560" w:lineRule="exact"/>
        <w:rPr>
          <w:rFonts w:ascii="仿宋" w:hAnsi="仿宋" w:eastAsia="仿宋" w:cs="仿宋"/>
          <w:sz w:val="30"/>
          <w:szCs w:val="30"/>
        </w:rPr>
      </w:pPr>
      <w:r>
        <w:rPr>
          <w:rFonts w:hint="eastAsia" w:ascii="仿宋" w:hAnsi="仿宋" w:eastAsia="仿宋" w:cs="仿宋"/>
          <w:sz w:val="30"/>
          <w:szCs w:val="30"/>
        </w:rPr>
        <w:t xml:space="preserve">    通过举办全国职业院校科普卫星研制工程邀请赛（以下简称竞赛），带动职业院校学生参与航天系统工程实践，在实践中学航天、爱航天、用航天，更好地弘扬航天精神和工匠精神，帮助他们培养兴趣、树立志向、提升自信、增长才干，鼓励他们崇尚科学、勇于创新、严谨务实、精益求精。</w:t>
      </w:r>
    </w:p>
    <w:p>
      <w:pPr>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为广大职业院校师生创造走进中国航天，与航天科学家、技能大师、大国工匠亲密接触，促进校企双向交流、产教深度融合的新机制；为职业院校同学们提供一个同台竞技、深入交流、共同学习、相伴成长，实现高质量就业的新平台。</w:t>
      </w:r>
    </w:p>
    <w:p>
      <w:pPr>
        <w:snapToGrid w:val="0"/>
        <w:spacing w:line="560" w:lineRule="exact"/>
        <w:ind w:firstLine="640"/>
        <w:rPr>
          <w:rFonts w:ascii="仿宋" w:hAnsi="仿宋" w:eastAsia="仿宋" w:cs="仿宋"/>
          <w:sz w:val="30"/>
          <w:szCs w:val="30"/>
        </w:rPr>
      </w:pPr>
      <w:r>
        <w:rPr>
          <w:rFonts w:hint="eastAsia" w:ascii="仿宋" w:hAnsi="仿宋" w:eastAsia="仿宋" w:cs="仿宋"/>
          <w:sz w:val="30"/>
          <w:szCs w:val="30"/>
        </w:rPr>
        <w:t>引进航天产业资源和专家资源，积极探索中国特色的“航天师徒制”，帮助职业院校建设符合国家新时代发展需要、航天产业创新发展需求的一流专业，如卫星通信与导航技术、飞行器制造工程，航天智能载具、航天文化创意、元宇宙创意与技术）等现代专业/群建设，实现职业教育与航天产业链、创新链的有效衔接，促进职业院校“双高”发展，为航天事业发现、培养更多工匠型后备人才。</w:t>
      </w:r>
    </w:p>
    <w:p>
      <w:pPr>
        <w:spacing w:line="560" w:lineRule="exact"/>
        <w:ind w:firstLine="600" w:firstLineChars="200"/>
        <w:outlineLvl w:val="0"/>
        <w:rPr>
          <w:rFonts w:ascii="黑体" w:hAnsi="黑体" w:eastAsia="黑体" w:cs="黑体"/>
          <w:sz w:val="30"/>
          <w:szCs w:val="30"/>
        </w:rPr>
      </w:pPr>
      <w:r>
        <w:rPr>
          <w:rFonts w:hint="eastAsia" w:ascii="黑体" w:hAnsi="黑体" w:eastAsia="黑体" w:cs="黑体"/>
          <w:sz w:val="30"/>
          <w:szCs w:val="30"/>
        </w:rPr>
        <w:t>二、竞赛内容</w:t>
      </w:r>
    </w:p>
    <w:p>
      <w:pPr>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竞赛内容分为科普卫星整星研制、卫星平台部组件及载荷</w:t>
      </w:r>
      <w:r>
        <w:rPr>
          <w:rFonts w:hint="eastAsia" w:ascii="仿宋" w:hAnsi="仿宋" w:eastAsia="仿宋" w:cs="仿宋"/>
          <w:sz w:val="30"/>
          <w:szCs w:val="30"/>
          <w:lang w:val="en-US" w:eastAsia="zh-CN"/>
        </w:rPr>
        <w:t>研制</w:t>
      </w:r>
      <w:r>
        <w:rPr>
          <w:rFonts w:hint="eastAsia" w:ascii="仿宋" w:hAnsi="仿宋" w:eastAsia="仿宋" w:cs="仿宋"/>
          <w:sz w:val="30"/>
          <w:szCs w:val="30"/>
        </w:rPr>
        <w:t>以及卫星应用三大部分。其中，整星研制与卫星平台部组件及载荷</w:t>
      </w:r>
      <w:r>
        <w:rPr>
          <w:rFonts w:hint="eastAsia" w:ascii="仿宋" w:hAnsi="仿宋" w:eastAsia="仿宋" w:cs="仿宋"/>
          <w:sz w:val="30"/>
          <w:szCs w:val="30"/>
          <w:lang w:val="en-US" w:eastAsia="zh-CN"/>
        </w:rPr>
        <w:t>研制</w:t>
      </w:r>
      <w:r>
        <w:rPr>
          <w:rFonts w:hint="eastAsia" w:ascii="仿宋" w:hAnsi="仿宋" w:eastAsia="仿宋" w:cs="仿宋"/>
          <w:sz w:val="30"/>
          <w:szCs w:val="30"/>
        </w:rPr>
        <w:t>两部分，由参赛团队提交卫星整星或卫星平台部组件及载荷的设计方案、工程样机、测试及试验报告等项目资料，由大赛评委会进行评审。卫星应用部分为现场竞赛，由参赛队伍派参赛选手进行导航、遥感、通信等卫星应用领域的现场</w:t>
      </w:r>
      <w:r>
        <w:rPr>
          <w:rFonts w:hint="eastAsia" w:ascii="仿宋" w:hAnsi="仿宋" w:eastAsia="仿宋" w:cs="仿宋"/>
          <w:sz w:val="30"/>
          <w:szCs w:val="30"/>
          <w:lang w:val="en-US" w:eastAsia="zh-CN"/>
        </w:rPr>
        <w:t>技能</w:t>
      </w:r>
      <w:r>
        <w:rPr>
          <w:rFonts w:hint="eastAsia" w:ascii="仿宋" w:hAnsi="仿宋" w:eastAsia="仿宋" w:cs="仿宋"/>
          <w:sz w:val="30"/>
          <w:szCs w:val="30"/>
        </w:rPr>
        <w:t>竞赛，竞赛由主办方提供竞赛题目、竞赛设备及场地。优胜者将获得搭载发射机会。</w:t>
      </w:r>
    </w:p>
    <w:p>
      <w:pPr>
        <w:snapToGrid w:val="0"/>
        <w:spacing w:line="560" w:lineRule="exact"/>
        <w:ind w:firstLine="600" w:firstLineChars="200"/>
        <w:outlineLvl w:val="1"/>
        <w:rPr>
          <w:rFonts w:ascii="楷体" w:hAnsi="楷体" w:eastAsia="楷体" w:cs="楷体"/>
          <w:sz w:val="30"/>
          <w:szCs w:val="30"/>
        </w:rPr>
      </w:pPr>
      <w:r>
        <w:rPr>
          <w:rFonts w:hint="eastAsia" w:ascii="楷体" w:hAnsi="楷体" w:eastAsia="楷体" w:cs="楷体"/>
          <w:sz w:val="30"/>
          <w:szCs w:val="30"/>
        </w:rPr>
        <w:t>（一）卫星整星研制竞赛</w:t>
      </w:r>
    </w:p>
    <w:p>
      <w:pPr>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卫星整星研制竞赛要求参赛团队开展卫星任务创意，设计能够满足特定任务需求的卫星总体方案，确定各分系统功能性能要求，并完成模拟卫星的研制。</w:t>
      </w:r>
    </w:p>
    <w:p>
      <w:pPr>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参赛团队须提交</w:t>
      </w:r>
      <w:r>
        <w:rPr>
          <w:rFonts w:hint="eastAsia" w:ascii="仿宋" w:hAnsi="仿宋" w:eastAsia="仿宋" w:cs="仿宋"/>
          <w:sz w:val="30"/>
          <w:szCs w:val="30"/>
          <w:lang w:val="en-US" w:eastAsia="zh-CN"/>
        </w:rPr>
        <w:t>模拟</w:t>
      </w:r>
      <w:r>
        <w:rPr>
          <w:rFonts w:hint="eastAsia" w:ascii="仿宋" w:hAnsi="仿宋" w:eastAsia="仿宋" w:cs="仿宋"/>
          <w:sz w:val="30"/>
          <w:szCs w:val="30"/>
        </w:rPr>
        <w:t>整星实物以及相关的设计文档、工程图纸、测试文档、试验文档等配套技术文件，并能够进行整星的功能展示。</w:t>
      </w:r>
    </w:p>
    <w:p>
      <w:pPr>
        <w:snapToGrid w:val="0"/>
        <w:spacing w:line="560" w:lineRule="exact"/>
        <w:ind w:firstLine="600" w:firstLineChars="200"/>
        <w:outlineLvl w:val="1"/>
        <w:rPr>
          <w:rFonts w:ascii="楷体" w:hAnsi="楷体" w:eastAsia="楷体" w:cs="楷体"/>
          <w:sz w:val="30"/>
          <w:szCs w:val="30"/>
        </w:rPr>
      </w:pPr>
      <w:r>
        <w:rPr>
          <w:rFonts w:hint="eastAsia" w:ascii="楷体" w:hAnsi="楷体" w:eastAsia="楷体" w:cs="楷体"/>
          <w:sz w:val="30"/>
          <w:szCs w:val="30"/>
        </w:rPr>
        <w:t>（二）卫星平台部组件及载荷研制竞赛</w:t>
      </w:r>
    </w:p>
    <w:p>
      <w:pPr>
        <w:snapToGrid w:val="0"/>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卫星平台部组件及载荷</w:t>
      </w:r>
      <w:r>
        <w:rPr>
          <w:rFonts w:hint="eastAsia" w:ascii="仿宋" w:hAnsi="仿宋" w:eastAsia="仿宋" w:cs="仿宋"/>
          <w:sz w:val="30"/>
          <w:szCs w:val="30"/>
          <w:lang w:val="en-US" w:eastAsia="zh-CN"/>
        </w:rPr>
        <w:t>研制</w:t>
      </w:r>
      <w:r>
        <w:rPr>
          <w:rFonts w:hint="eastAsia" w:ascii="仿宋" w:hAnsi="仿宋" w:eastAsia="仿宋" w:cs="仿宋"/>
          <w:sz w:val="30"/>
          <w:szCs w:val="30"/>
        </w:rPr>
        <w:t>竞赛要求参赛团队选择卫星平台或载荷的某一分系统或其部组件进行研制，如结构分系统、电源分系统、数管分系统、热控分系统、数传分系统、推进分系统、试验载荷等。</w:t>
      </w:r>
      <w:r>
        <w:rPr>
          <w:rFonts w:hint="eastAsia" w:ascii="仿宋" w:hAnsi="仿宋" w:eastAsia="仿宋" w:cs="仿宋"/>
          <w:sz w:val="30"/>
          <w:szCs w:val="30"/>
          <w:lang w:val="en-US" w:eastAsia="zh-CN"/>
        </w:rPr>
        <w:t>该赛项分为两个小组进行。</w:t>
      </w:r>
      <w:r>
        <w:rPr>
          <w:rFonts w:hint="eastAsia" w:ascii="仿宋" w:hAnsi="仿宋" w:eastAsia="仿宋" w:cs="仿宋"/>
          <w:sz w:val="30"/>
          <w:szCs w:val="30"/>
        </w:rPr>
        <w:t>小组1“开放式研制”可自主创意，提出技术指标及方案。小组2“命题式研制”可在大赛提供的机械设计制造、电子信息、能源动力与材料三大类中任选其中一类，按要求进行设计或生产实施。</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参赛团队须提交部组件或载荷</w:t>
      </w:r>
      <w:r>
        <w:rPr>
          <w:rFonts w:hint="eastAsia" w:ascii="仿宋" w:hAnsi="仿宋" w:eastAsia="仿宋" w:cs="仿宋"/>
          <w:sz w:val="30"/>
          <w:szCs w:val="30"/>
          <w:lang w:val="en-US" w:eastAsia="zh-CN"/>
        </w:rPr>
        <w:t>模拟件</w:t>
      </w:r>
      <w:r>
        <w:rPr>
          <w:rFonts w:hint="eastAsia" w:ascii="仿宋" w:hAnsi="仿宋" w:eastAsia="仿宋" w:cs="仿宋"/>
          <w:sz w:val="30"/>
          <w:szCs w:val="30"/>
        </w:rPr>
        <w:t>实物以及相关的设计文档、工程图纸、测试文档、试验文档等配套技术文件，并能够进行相应的功能展示。</w:t>
      </w:r>
    </w:p>
    <w:p>
      <w:pPr>
        <w:snapToGrid w:val="0"/>
        <w:spacing w:line="560" w:lineRule="exact"/>
        <w:ind w:firstLine="600" w:firstLineChars="200"/>
        <w:outlineLvl w:val="1"/>
        <w:rPr>
          <w:rFonts w:ascii="楷体" w:hAnsi="楷体" w:eastAsia="楷体" w:cs="楷体"/>
          <w:sz w:val="30"/>
          <w:szCs w:val="30"/>
        </w:rPr>
      </w:pPr>
      <w:r>
        <w:rPr>
          <w:rFonts w:hint="eastAsia" w:ascii="楷体" w:hAnsi="楷体" w:eastAsia="楷体" w:cs="楷体"/>
          <w:sz w:val="30"/>
          <w:szCs w:val="30"/>
        </w:rPr>
        <w:t>（三）卫星应用竞赛</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卫星应用竞赛采用现场比赛形式，要求参赛团队能够熟练运用卫星导航、卫星通讯、卫星遥感等卫星应用领域技术，在比赛指定场地现场完成工程任务。</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参赛团队需具备工程读图、测量仪器使用等基础能力，在参赛过程中遵守比赛规则，并按照比赛标准要求现场提交成果。</w:t>
      </w:r>
    </w:p>
    <w:p>
      <w:pPr>
        <w:spacing w:line="560" w:lineRule="exact"/>
        <w:ind w:firstLine="600" w:firstLineChars="200"/>
        <w:outlineLvl w:val="0"/>
        <w:rPr>
          <w:rFonts w:ascii="黑体" w:hAnsi="黑体" w:eastAsia="黑体" w:cs="黑体"/>
          <w:sz w:val="30"/>
          <w:szCs w:val="30"/>
        </w:rPr>
      </w:pPr>
      <w:r>
        <w:rPr>
          <w:rFonts w:hint="eastAsia" w:ascii="黑体" w:hAnsi="黑体" w:eastAsia="黑体" w:cs="黑体"/>
          <w:sz w:val="30"/>
          <w:szCs w:val="30"/>
        </w:rPr>
        <w:t>三、竞赛方式</w:t>
      </w:r>
    </w:p>
    <w:p>
      <w:pPr>
        <w:spacing w:line="560" w:lineRule="exact"/>
        <w:outlineLvl w:val="1"/>
        <w:rPr>
          <w:rFonts w:ascii="楷体" w:hAnsi="楷体" w:eastAsia="楷体" w:cs="楷体"/>
          <w:sz w:val="30"/>
          <w:szCs w:val="30"/>
        </w:rPr>
      </w:pPr>
      <w:r>
        <w:rPr>
          <w:rFonts w:hint="eastAsia" w:ascii="楷体" w:hAnsi="楷体" w:eastAsia="楷体" w:cs="楷体"/>
          <w:sz w:val="30"/>
          <w:szCs w:val="30"/>
        </w:rPr>
        <w:t xml:space="preserve">    （一）竞赛人员构成</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本竞赛为团体参赛形式进行。</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参加科普卫星整星研制赛项的参赛队人数不超过40人，参赛队所有成员均为在校学生且不得跨校组队，同一学校的报名参赛队不超过2支。每队可配不多余5名指导教师，指导教师须为本校专兼职教师。</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参加卫星平台部组件及载荷研制赛项的参赛队人数不多于10人，参赛队所有成员均为在校学生且不得跨校组队，同一学校的报名参赛队不超过3支，每队可配不多余2名指导教师，指导教师须为本校专兼职教师。</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参加卫星应用赛项的参赛队人数不多于3人，参赛队所有成员均为在校学生且不得跨校组队，同一学校的报名参赛队不超过3支，每队可配不多余2名指导教师，指导教师须为本校专兼职教师。</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所有参赛成员，均按学历最高的作者划分组别。每个参赛队需指定队长1名。</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参赛选手和指导教师报名获得确认后不得随意更换，如确需更换，则在竞赛前1个月书面向竞赛组委会秘书处提出申请，批准后方可更换。</w:t>
      </w:r>
    </w:p>
    <w:p>
      <w:pPr>
        <w:spacing w:line="560" w:lineRule="exact"/>
        <w:outlineLvl w:val="1"/>
        <w:rPr>
          <w:rFonts w:ascii="楷体" w:hAnsi="楷体" w:eastAsia="楷体" w:cs="楷体"/>
          <w:sz w:val="30"/>
          <w:szCs w:val="30"/>
        </w:rPr>
      </w:pPr>
      <w:r>
        <w:rPr>
          <w:rFonts w:hint="eastAsia" w:ascii="楷体" w:hAnsi="楷体" w:eastAsia="楷体" w:cs="楷体"/>
          <w:sz w:val="30"/>
          <w:szCs w:val="30"/>
        </w:rPr>
        <w:t xml:space="preserve">    （二）竞赛时间安排</w:t>
      </w:r>
    </w:p>
    <w:p>
      <w:pPr>
        <w:spacing w:line="560" w:lineRule="exact"/>
        <w:ind w:firstLine="600"/>
        <w:rPr>
          <w:rFonts w:ascii="仿宋" w:hAnsi="仿宋" w:eastAsia="仿宋" w:cs="仿宋"/>
          <w:sz w:val="30"/>
          <w:szCs w:val="30"/>
        </w:rPr>
      </w:pPr>
      <w:r>
        <w:rPr>
          <w:rFonts w:hint="eastAsia" w:ascii="仿宋" w:hAnsi="仿宋" w:eastAsia="仿宋" w:cs="仿宋"/>
          <w:sz w:val="30"/>
          <w:szCs w:val="30"/>
        </w:rPr>
        <w:t>对于科普卫星整星研制与卫星平台部组件及载荷研制两大赛项，由于竞赛内容是工程研制内容，在竞赛通知发布后，参赛选手根据选题自行进行设计研制，时限为</w:t>
      </w:r>
      <w:r>
        <w:rPr>
          <w:rFonts w:hint="eastAsia" w:ascii="仿宋" w:hAnsi="仿宋" w:eastAsia="仿宋" w:cs="仿宋"/>
          <w:sz w:val="30"/>
          <w:szCs w:val="30"/>
          <w:lang w:val="en-US" w:eastAsia="zh-CN"/>
        </w:rPr>
        <w:t>4</w:t>
      </w:r>
      <w:r>
        <w:rPr>
          <w:rFonts w:hint="eastAsia" w:ascii="仿宋" w:hAnsi="仿宋" w:eastAsia="仿宋" w:cs="仿宋"/>
          <w:sz w:val="30"/>
          <w:szCs w:val="30"/>
        </w:rPr>
        <w:t>个月。研制完成后按照竞赛要求填写申报书及提供相应资料上报竞赛组委会。</w:t>
      </w:r>
    </w:p>
    <w:p>
      <w:pPr>
        <w:spacing w:line="560" w:lineRule="exact"/>
        <w:ind w:firstLine="600"/>
        <w:rPr>
          <w:rFonts w:ascii="仿宋" w:hAnsi="仿宋" w:eastAsia="仿宋" w:cs="仿宋"/>
          <w:sz w:val="30"/>
          <w:szCs w:val="30"/>
        </w:rPr>
      </w:pPr>
      <w:r>
        <w:rPr>
          <w:rFonts w:hint="eastAsia" w:ascii="仿宋" w:hAnsi="仿宋" w:eastAsia="仿宋" w:cs="仿宋"/>
          <w:sz w:val="30"/>
          <w:szCs w:val="30"/>
        </w:rPr>
        <w:t>对于卫星应用赛项，各参赛队将在50分钟的规定时间内，使用赛项规定的仪器设备完成基于北斗的工程放样任务。比赛流程包括竞赛说明会、赛前准备、正式比赛三部分。竞赛说明会将发布电子版测区示意图、测区范围、注意事项等。赛前准备期间，组委会将根据报名情况对各参赛者进行比赛分组并发布分组名单。正式比赛包括抽签、比赛、提交成果等环节。</w:t>
      </w:r>
    </w:p>
    <w:p>
      <w:pPr>
        <w:spacing w:line="560" w:lineRule="exact"/>
        <w:outlineLvl w:val="1"/>
        <w:rPr>
          <w:rFonts w:ascii="仿宋" w:hAnsi="仿宋" w:eastAsia="仿宋" w:cs="仿宋"/>
          <w:sz w:val="30"/>
          <w:szCs w:val="30"/>
        </w:rPr>
      </w:pPr>
      <w:r>
        <w:rPr>
          <w:rFonts w:hint="eastAsia" w:ascii="仿宋" w:hAnsi="仿宋" w:eastAsia="仿宋" w:cs="仿宋"/>
          <w:sz w:val="30"/>
          <w:szCs w:val="30"/>
        </w:rPr>
        <w:t xml:space="preserve">    （三）竞赛获奖等次确定</w:t>
      </w:r>
    </w:p>
    <w:p>
      <w:pPr>
        <w:spacing w:line="560" w:lineRule="exact"/>
        <w:rPr>
          <w:rFonts w:ascii="仿宋" w:hAnsi="仿宋" w:eastAsia="仿宋" w:cs="仿宋"/>
          <w:sz w:val="30"/>
          <w:szCs w:val="30"/>
        </w:rPr>
      </w:pPr>
      <w:r>
        <w:rPr>
          <w:rFonts w:hint="eastAsia" w:ascii="仿宋" w:hAnsi="仿宋" w:eastAsia="仿宋" w:cs="仿宋"/>
          <w:sz w:val="30"/>
          <w:szCs w:val="30"/>
        </w:rPr>
        <w:t xml:space="preserve">   赛项组委会将组成评审专家组，推选主任委员1名，副主任委员</w:t>
      </w:r>
      <w:r>
        <w:rPr>
          <w:rFonts w:hint="eastAsia" w:ascii="仿宋" w:hAnsi="仿宋" w:eastAsia="仿宋" w:cs="仿宋"/>
          <w:sz w:val="30"/>
          <w:szCs w:val="30"/>
          <w:lang w:val="en-US" w:eastAsia="zh-CN"/>
        </w:rPr>
        <w:t>3</w:t>
      </w:r>
      <w:r>
        <w:rPr>
          <w:rFonts w:hint="eastAsia" w:ascii="仿宋" w:hAnsi="仿宋" w:eastAsia="仿宋" w:cs="仿宋"/>
          <w:sz w:val="30"/>
          <w:szCs w:val="30"/>
        </w:rPr>
        <w:t>名，负责大赛评审工作。</w:t>
      </w:r>
    </w:p>
    <w:p>
      <w:pPr>
        <w:spacing w:line="560" w:lineRule="exact"/>
        <w:rPr>
          <w:rFonts w:ascii="仿宋" w:hAnsi="仿宋" w:eastAsia="仿宋" w:cs="仿宋"/>
          <w:sz w:val="30"/>
          <w:szCs w:val="30"/>
        </w:rPr>
      </w:pPr>
      <w:r>
        <w:rPr>
          <w:rFonts w:hint="eastAsia" w:ascii="仿宋" w:hAnsi="仿宋" w:eastAsia="仿宋" w:cs="仿宋"/>
          <w:sz w:val="30"/>
          <w:szCs w:val="30"/>
        </w:rPr>
        <w:t xml:space="preserve">   对于科普卫星整星研制与卫星平台部组件及载荷研制两大赛项，专家组根据竞赛评审规则和标准，通过对参赛选手的问辩、参赛作品是否达到了设定的工程目标，结合作品的科学性、先进性、实用性和可操作性等，每位评委独立给问辩作品打分并对评分表进行签字确认。最后作品成绩评定原则是去掉一个最高分和最低分，剩余得分进行相加，由得分从高至低按竞赛章程所规定比例确定获奖等级。</w:t>
      </w:r>
    </w:p>
    <w:p>
      <w:pPr>
        <w:spacing w:line="560" w:lineRule="exact"/>
        <w:rPr>
          <w:rFonts w:hint="eastAsia" w:ascii="仿宋" w:hAnsi="仿宋" w:eastAsia="仿宋" w:cs="仿宋"/>
          <w:sz w:val="30"/>
          <w:szCs w:val="30"/>
          <w:lang w:val="en-US" w:eastAsia="zh-CN"/>
        </w:rPr>
      </w:pPr>
      <w:r>
        <w:rPr>
          <w:rFonts w:hint="eastAsia" w:ascii="仿宋" w:hAnsi="仿宋" w:eastAsia="仿宋" w:cs="仿宋"/>
          <w:sz w:val="30"/>
          <w:szCs w:val="30"/>
        </w:rPr>
        <w:t xml:space="preserve">   对于卫星应用赛项，总分100分，其中竞赛用时成绩30分，实操及成果质量70分。</w:t>
      </w:r>
      <w:r>
        <w:rPr>
          <w:rFonts w:hint="eastAsia" w:ascii="仿宋" w:hAnsi="仿宋" w:eastAsia="仿宋" w:cs="仿宋"/>
          <w:sz w:val="30"/>
          <w:szCs w:val="30"/>
          <w:lang w:val="en-US" w:eastAsia="zh-CN"/>
        </w:rPr>
        <w:t>详细见第九章成绩评定。</w:t>
      </w:r>
    </w:p>
    <w:p>
      <w:pPr>
        <w:spacing w:line="560" w:lineRule="exact"/>
        <w:rPr>
          <w:rFonts w:hint="default" w:ascii="仿宋" w:hAnsi="仿宋" w:eastAsia="仿宋" w:cs="仿宋"/>
          <w:sz w:val="30"/>
          <w:szCs w:val="30"/>
          <w:lang w:val="en-US" w:eastAsia="zh-CN"/>
        </w:rPr>
      </w:pPr>
    </w:p>
    <w:p>
      <w:pPr>
        <w:spacing w:line="560" w:lineRule="exact"/>
        <w:ind w:firstLine="600" w:firstLineChars="200"/>
        <w:outlineLvl w:val="0"/>
        <w:rPr>
          <w:rFonts w:ascii="黑体" w:hAnsi="黑体" w:eastAsia="黑体" w:cs="黑体"/>
          <w:sz w:val="30"/>
          <w:szCs w:val="30"/>
        </w:rPr>
      </w:pPr>
      <w:r>
        <w:rPr>
          <w:rFonts w:hint="eastAsia" w:ascii="黑体" w:hAnsi="黑体" w:eastAsia="黑体" w:cs="黑体"/>
          <w:sz w:val="30"/>
          <w:szCs w:val="30"/>
        </w:rPr>
        <w:t>四、竞赛流程</w:t>
      </w:r>
    </w:p>
    <w:p>
      <w:pPr>
        <w:spacing w:line="560" w:lineRule="exact"/>
        <w:ind w:firstLine="600" w:firstLineChars="200"/>
        <w:jc w:val="left"/>
        <w:outlineLvl w:val="1"/>
        <w:rPr>
          <w:rFonts w:ascii="楷体" w:hAnsi="楷体" w:eastAsia="楷体" w:cs="楷体"/>
          <w:sz w:val="30"/>
          <w:szCs w:val="30"/>
        </w:rPr>
      </w:pPr>
      <w:r>
        <w:rPr>
          <w:rFonts w:hint="eastAsia" w:ascii="楷体" w:hAnsi="楷体" w:eastAsia="楷体" w:cs="楷体"/>
          <w:sz w:val="30"/>
          <w:szCs w:val="30"/>
        </w:rPr>
        <w:t>（一）竞赛日程安排表（拟订）</w:t>
      </w:r>
    </w:p>
    <w:tbl>
      <w:tblPr>
        <w:tblStyle w:val="8"/>
        <w:tblW w:w="8295" w:type="dxa"/>
        <w:tblInd w:w="0" w:type="dxa"/>
        <w:tblLayout w:type="fixed"/>
        <w:tblCellMar>
          <w:top w:w="0" w:type="dxa"/>
          <w:left w:w="0" w:type="dxa"/>
          <w:bottom w:w="0" w:type="dxa"/>
          <w:right w:w="0" w:type="dxa"/>
        </w:tblCellMar>
      </w:tblPr>
      <w:tblGrid>
        <w:gridCol w:w="1422"/>
        <w:gridCol w:w="1754"/>
        <w:gridCol w:w="3142"/>
        <w:gridCol w:w="1977"/>
      </w:tblGrid>
      <w:tr>
        <w:tblPrEx>
          <w:tblLayout w:type="fixed"/>
          <w:tblCellMar>
            <w:top w:w="0" w:type="dxa"/>
            <w:left w:w="0" w:type="dxa"/>
            <w:bottom w:w="0" w:type="dxa"/>
            <w:right w:w="0" w:type="dxa"/>
          </w:tblCellMar>
        </w:tblPrEx>
        <w:trPr>
          <w:trHeight w:val="500" w:hRule="atLeast"/>
        </w:trPr>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b/>
                <w:color w:val="000000"/>
                <w:sz w:val="24"/>
              </w:rPr>
            </w:pPr>
            <w:r>
              <w:rPr>
                <w:rFonts w:hint="eastAsia" w:ascii="仿宋" w:hAnsi="仿宋" w:eastAsia="仿宋" w:cs="仿宋"/>
                <w:b/>
                <w:color w:val="000000"/>
                <w:kern w:val="0"/>
                <w:sz w:val="24"/>
                <w:lang w:bidi="ar"/>
              </w:rPr>
              <w:t>日   期</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b/>
                <w:color w:val="000000"/>
                <w:sz w:val="24"/>
              </w:rPr>
            </w:pPr>
            <w:r>
              <w:rPr>
                <w:rFonts w:hint="eastAsia" w:ascii="仿宋" w:hAnsi="仿宋" w:eastAsia="仿宋" w:cs="仿宋"/>
                <w:b/>
                <w:color w:val="000000"/>
                <w:kern w:val="0"/>
                <w:sz w:val="24"/>
                <w:lang w:bidi="ar"/>
              </w:rPr>
              <w:t>时  间</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b/>
                <w:color w:val="000000"/>
                <w:sz w:val="24"/>
              </w:rPr>
            </w:pPr>
            <w:r>
              <w:rPr>
                <w:rFonts w:hint="eastAsia" w:ascii="仿宋" w:hAnsi="仿宋" w:eastAsia="仿宋" w:cs="仿宋"/>
                <w:b/>
                <w:color w:val="000000"/>
                <w:kern w:val="0"/>
                <w:sz w:val="24"/>
                <w:lang w:bidi="ar"/>
              </w:rPr>
              <w:t>内  容</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center"/>
              <w:textAlignment w:val="center"/>
              <w:rPr>
                <w:rFonts w:ascii="仿宋" w:hAnsi="仿宋" w:eastAsia="仿宋" w:cs="仿宋"/>
                <w:b/>
                <w:color w:val="000000"/>
                <w:sz w:val="24"/>
              </w:rPr>
            </w:pPr>
            <w:r>
              <w:rPr>
                <w:rFonts w:hint="eastAsia" w:ascii="仿宋" w:hAnsi="仿宋" w:eastAsia="仿宋" w:cs="仿宋"/>
                <w:b/>
                <w:color w:val="000000"/>
                <w:kern w:val="0"/>
                <w:sz w:val="24"/>
                <w:lang w:bidi="ar"/>
              </w:rPr>
              <w:t>备  注</w:t>
            </w:r>
          </w:p>
        </w:tc>
      </w:tr>
      <w:tr>
        <w:tblPrEx>
          <w:tblLayout w:type="fixed"/>
          <w:tblCellMar>
            <w:top w:w="0" w:type="dxa"/>
            <w:left w:w="0" w:type="dxa"/>
            <w:bottom w:w="0" w:type="dxa"/>
            <w:right w:w="0" w:type="dxa"/>
          </w:tblCellMar>
        </w:tblPrEx>
        <w:trPr>
          <w:trHeight w:val="500" w:hRule="atLeast"/>
        </w:trPr>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赛说明会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发布竞赛题目、基本要求</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p>
        </w:tc>
      </w:tr>
      <w:tr>
        <w:tblPrEx>
          <w:tblLayout w:type="fixed"/>
          <w:tblCellMar>
            <w:top w:w="0" w:type="dxa"/>
            <w:left w:w="0" w:type="dxa"/>
            <w:bottom w:w="0" w:type="dxa"/>
            <w:right w:w="0" w:type="dxa"/>
          </w:tblCellMar>
        </w:tblPrEx>
        <w:trPr>
          <w:trHeight w:val="500" w:hRule="atLeast"/>
        </w:trPr>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赛前准备</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发布现场答辩及竞赛名单</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p>
        </w:tc>
      </w:tr>
      <w:tr>
        <w:tblPrEx>
          <w:tblLayout w:type="fixed"/>
          <w:tblCellMar>
            <w:top w:w="0" w:type="dxa"/>
            <w:left w:w="0" w:type="dxa"/>
            <w:bottom w:w="0" w:type="dxa"/>
            <w:right w:w="0" w:type="dxa"/>
          </w:tblCellMar>
        </w:tblPrEx>
        <w:trPr>
          <w:trHeight w:val="500" w:hRule="atLeast"/>
        </w:trPr>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比赛前两天</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17:00前</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大赛评委报到</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接待组</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20:00-21:00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大赛评委预备会</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评审组</w:t>
            </w:r>
          </w:p>
        </w:tc>
      </w:tr>
      <w:tr>
        <w:tblPrEx>
          <w:tblLayout w:type="fixed"/>
          <w:tblCellMar>
            <w:top w:w="0" w:type="dxa"/>
            <w:left w:w="0" w:type="dxa"/>
            <w:bottom w:w="0" w:type="dxa"/>
            <w:right w:w="0" w:type="dxa"/>
          </w:tblCellMar>
        </w:tblPrEx>
        <w:trPr>
          <w:trHeight w:val="500" w:hRule="atLeast"/>
        </w:trPr>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比赛前一天</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20:00前</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赛项（一/二）参赛队伍</w:t>
            </w:r>
          </w:p>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报到注册</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接待组</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9:00-11:00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工作人员培训</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由各组分别进行</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14:00-18:00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赛项（一/二）参赛队伍布展</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需要佩戴进场证件</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9:00-18:00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赛项（一/二）评委审阅参赛作品文字材料</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分组进行</w:t>
            </w:r>
          </w:p>
        </w:tc>
      </w:tr>
      <w:tr>
        <w:tblPrEx>
          <w:tblLayout w:type="fixed"/>
          <w:tblCellMar>
            <w:top w:w="0" w:type="dxa"/>
            <w:left w:w="0" w:type="dxa"/>
            <w:bottom w:w="0" w:type="dxa"/>
            <w:right w:w="0" w:type="dxa"/>
          </w:tblCellMar>
        </w:tblPrEx>
        <w:trPr>
          <w:trHeight w:val="500" w:hRule="atLeast"/>
        </w:trPr>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比赛第一天</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8:00-11:00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赛项（一/二）参赛队伍布展</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需要佩戴进场证件</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12:00前</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赛项（三）参赛队伍报道注册</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14:00-17:00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大赛开幕式及交流</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由大赛执委会主持</w:t>
            </w:r>
          </w:p>
        </w:tc>
      </w:tr>
      <w:tr>
        <w:tblPrEx>
          <w:tblLayout w:type="fixed"/>
          <w:tblCellMar>
            <w:top w:w="0" w:type="dxa"/>
            <w:left w:w="0" w:type="dxa"/>
            <w:bottom w:w="0" w:type="dxa"/>
            <w:right w:w="0" w:type="dxa"/>
          </w:tblCellMar>
        </w:tblPrEx>
        <w:trPr>
          <w:trHeight w:val="760" w:hRule="atLeast"/>
        </w:trPr>
        <w:tc>
          <w:tcPr>
            <w:tcW w:w="142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比赛第二天</w:t>
            </w:r>
          </w:p>
        </w:tc>
        <w:tc>
          <w:tcPr>
            <w:tcW w:w="1754"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全天（到17:00）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赛项（一/二）</w:t>
            </w:r>
          </w:p>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封闭答辩评审</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由评审委员会主持</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需要佩戴进场证件</w:t>
            </w:r>
          </w:p>
        </w:tc>
      </w:tr>
      <w:tr>
        <w:tblPrEx>
          <w:tblLayout w:type="fixed"/>
          <w:tblCellMar>
            <w:top w:w="0" w:type="dxa"/>
            <w:left w:w="0" w:type="dxa"/>
            <w:bottom w:w="0" w:type="dxa"/>
            <w:right w:w="0" w:type="dxa"/>
          </w:tblCellMar>
        </w:tblPrEx>
        <w:trPr>
          <w:trHeight w:val="760" w:hRule="atLeast"/>
        </w:trPr>
        <w:tc>
          <w:tcPr>
            <w:tcW w:w="142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p>
        </w:tc>
        <w:tc>
          <w:tcPr>
            <w:tcW w:w="1754"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kern w:val="0"/>
                <w:sz w:val="24"/>
                <w:lang w:bidi="ar"/>
              </w:rPr>
            </w:pP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赛项（三）</w:t>
            </w:r>
          </w:p>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现场比赛</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由评审委员会主持</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需要佩戴进场证件</w:t>
            </w:r>
          </w:p>
        </w:tc>
      </w:tr>
      <w:tr>
        <w:tblPrEx>
          <w:tblLayout w:type="fixed"/>
          <w:tblCellMar>
            <w:top w:w="0" w:type="dxa"/>
            <w:left w:w="0" w:type="dxa"/>
            <w:bottom w:w="0" w:type="dxa"/>
            <w:right w:w="0" w:type="dxa"/>
          </w:tblCellMar>
        </w:tblPrEx>
        <w:trPr>
          <w:trHeight w:val="500" w:hRule="atLeast"/>
        </w:trPr>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比赛第三天</w:t>
            </w:r>
          </w:p>
        </w:tc>
        <w:tc>
          <w:tcPr>
            <w:tcW w:w="1754"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8:30-11:30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hint="eastAsia" w:ascii="仿宋" w:hAnsi="仿宋" w:eastAsia="仿宋" w:cs="仿宋"/>
                <w:color w:val="000000"/>
                <w:sz w:val="24"/>
                <w:lang w:val="en-US" w:eastAsia="zh-CN"/>
              </w:rPr>
            </w:pPr>
            <w:r>
              <w:rPr>
                <w:rFonts w:hint="eastAsia" w:ascii="仿宋" w:hAnsi="仿宋" w:eastAsia="仿宋" w:cs="仿宋"/>
                <w:color w:val="000000"/>
                <w:kern w:val="0"/>
                <w:sz w:val="24"/>
                <w:lang w:bidi="ar"/>
              </w:rPr>
              <w:t>评委闭门会议，奖项评定</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由评审委员会主持</w:t>
            </w:r>
          </w:p>
        </w:tc>
      </w:tr>
      <w:tr>
        <w:tblPrEx>
          <w:tblLayout w:type="fixed"/>
          <w:tblCellMar>
            <w:top w:w="0" w:type="dxa"/>
            <w:left w:w="0" w:type="dxa"/>
            <w:bottom w:w="0" w:type="dxa"/>
            <w:right w:w="0" w:type="dxa"/>
          </w:tblCellMar>
        </w:tblPrEx>
        <w:trPr>
          <w:trHeight w:val="72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专项奖评审</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如设立专项奖</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则有此环节</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全天（到17:00）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参赛作品公开展示</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社会公众参观</w:t>
            </w:r>
          </w:p>
        </w:tc>
      </w:tr>
      <w:tr>
        <w:tblPrEx>
          <w:tblLayout w:type="fixed"/>
          <w:tblCellMar>
            <w:top w:w="0" w:type="dxa"/>
            <w:left w:w="0" w:type="dxa"/>
            <w:bottom w:w="0" w:type="dxa"/>
            <w:right w:w="0" w:type="dxa"/>
          </w:tblCellMar>
        </w:tblPrEx>
        <w:trPr>
          <w:trHeight w:val="500" w:hRule="atLeast"/>
        </w:trPr>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60" w:lineRule="exact"/>
              <w:jc w:val="center"/>
              <w:rPr>
                <w:rFonts w:ascii="仿宋" w:hAnsi="仿宋" w:eastAsia="仿宋" w:cs="仿宋"/>
                <w:color w:val="000000"/>
                <w:sz w:val="24"/>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19:00-21:00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颁奖典礼</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由大赛执委会主持</w:t>
            </w:r>
          </w:p>
        </w:tc>
      </w:tr>
      <w:tr>
        <w:tblPrEx>
          <w:tblLayout w:type="fixed"/>
          <w:tblCellMar>
            <w:top w:w="0" w:type="dxa"/>
            <w:left w:w="0" w:type="dxa"/>
            <w:bottom w:w="0" w:type="dxa"/>
            <w:right w:w="0" w:type="dxa"/>
          </w:tblCellMar>
        </w:tblPrEx>
        <w:trPr>
          <w:trHeight w:val="500" w:hRule="atLeast"/>
        </w:trPr>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比赛第四天</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全天（到17:00）</w:t>
            </w:r>
          </w:p>
        </w:tc>
        <w:tc>
          <w:tcPr>
            <w:tcW w:w="31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疏散</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接待组</w:t>
            </w:r>
          </w:p>
        </w:tc>
      </w:tr>
    </w:tbl>
    <w:p>
      <w:pPr>
        <w:rPr>
          <w:rFonts w:ascii="仿宋" w:hAnsi="仿宋" w:eastAsia="仿宋" w:cs="仿宋"/>
          <w:sz w:val="30"/>
          <w:szCs w:val="30"/>
        </w:rPr>
      </w:pPr>
      <w:r>
        <w:rPr>
          <w:rFonts w:hint="eastAsia" w:ascii="仿宋" w:hAnsi="仿宋" w:eastAsia="仿宋" w:cs="仿宋"/>
          <w:sz w:val="30"/>
          <w:szCs w:val="30"/>
        </w:rPr>
        <w:br w:type="page"/>
      </w:r>
    </w:p>
    <w:p>
      <w:pPr>
        <w:spacing w:line="560" w:lineRule="exact"/>
        <w:ind w:firstLine="600" w:firstLineChars="200"/>
        <w:outlineLvl w:val="1"/>
        <w:rPr>
          <w:rFonts w:ascii="楷体" w:hAnsi="楷体" w:eastAsia="楷体" w:cs="楷体"/>
          <w:sz w:val="30"/>
          <w:szCs w:val="30"/>
        </w:rPr>
      </w:pPr>
      <w:r>
        <w:rPr>
          <w:rFonts w:hint="eastAsia" w:ascii="楷体" w:hAnsi="楷体" w:eastAsia="楷体" w:cs="楷体"/>
          <w:sz w:val="30"/>
          <w:szCs w:val="30"/>
        </w:rPr>
        <w:t>（二）现场竞赛流程图</w:t>
      </w:r>
    </w:p>
    <w:p>
      <w:pPr>
        <w:pStyle w:val="12"/>
        <w:widowControl/>
        <w:ind w:left="426" w:firstLine="600"/>
        <w:rPr>
          <w:rFonts w:hint="eastAsia" w:ascii="仿宋" w:hAnsi="仿宋" w:eastAsia="仿宋" w:cs="仿宋"/>
          <w:sz w:val="30"/>
          <w:szCs w:val="30"/>
          <w:lang w:eastAsia="zh-CN"/>
        </w:rPr>
      </w:pPr>
      <w:r>
        <w:rPr>
          <w:rFonts w:ascii="仿宋" w:hAnsi="仿宋" w:eastAsia="仿宋" w:cs="仿宋"/>
          <w:sz w:val="30"/>
          <w:szCs w:val="30"/>
        </w:rPr>
        <w:t>科普卫星整星研制</w:t>
      </w:r>
      <w:r>
        <w:rPr>
          <w:rFonts w:hint="eastAsia" w:ascii="仿宋" w:hAnsi="仿宋" w:eastAsia="仿宋" w:cs="仿宋"/>
          <w:sz w:val="30"/>
          <w:szCs w:val="30"/>
        </w:rPr>
        <w:t>与卫星平台部组件及载荷研制赛项的现场竞赛流程如下图</w:t>
      </w:r>
      <w:r>
        <w:rPr>
          <w:rFonts w:hint="eastAsia" w:ascii="仿宋" w:hAnsi="仿宋" w:eastAsia="仿宋" w:cs="仿宋"/>
          <w:sz w:val="30"/>
          <w:szCs w:val="30"/>
          <w:lang w:eastAsia="zh-CN"/>
        </w:rPr>
        <w:t>。</w:t>
      </w:r>
    </w:p>
    <w:p>
      <w:pPr>
        <w:pStyle w:val="12"/>
        <w:widowControl/>
        <w:ind w:left="426" w:firstLine="600"/>
        <w:rPr>
          <w:rFonts w:hint="eastAsia" w:ascii="仿宋" w:hAnsi="仿宋" w:eastAsia="仿宋" w:cs="仿宋"/>
          <w:sz w:val="30"/>
          <w:szCs w:val="30"/>
          <w:lang w:val="en-US" w:eastAsia="zh-CN"/>
        </w:rPr>
      </w:pPr>
      <w:r>
        <w:rPr>
          <w:rFonts w:hint="eastAsia" w:ascii="仿宋" w:hAnsi="仿宋" w:eastAsia="仿宋" w:cs="仿宋"/>
          <w:sz w:val="30"/>
          <w:szCs w:val="30"/>
          <w:lang w:eastAsia="zh-CN"/>
        </w:rPr>
        <w:drawing>
          <wp:anchor distT="0" distB="0" distL="114300" distR="114300" simplePos="0" relativeHeight="251659264" behindDoc="0" locked="0" layoutInCell="1" allowOverlap="1">
            <wp:simplePos x="0" y="0"/>
            <wp:positionH relativeFrom="column">
              <wp:posOffset>357505</wp:posOffset>
            </wp:positionH>
            <wp:positionV relativeFrom="paragraph">
              <wp:posOffset>52705</wp:posOffset>
            </wp:positionV>
            <wp:extent cx="3213735" cy="5848985"/>
            <wp:effectExtent l="0" t="0" r="5715" b="18415"/>
            <wp:wrapTopAndBottom/>
            <wp:docPr id="2" name="图片 2" descr="卫星竞赛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卫星竞赛流程图"/>
                    <pic:cNvPicPr>
                      <a:picLocks noChangeAspect="1"/>
                    </pic:cNvPicPr>
                  </pic:nvPicPr>
                  <pic:blipFill>
                    <a:blip r:embed="rId5"/>
                    <a:stretch>
                      <a:fillRect/>
                    </a:stretch>
                  </pic:blipFill>
                  <pic:spPr>
                    <a:xfrm>
                      <a:off x="0" y="0"/>
                      <a:ext cx="3213735" cy="5848985"/>
                    </a:xfrm>
                    <a:prstGeom prst="rect">
                      <a:avLst/>
                    </a:prstGeom>
                  </pic:spPr>
                </pic:pic>
              </a:graphicData>
            </a:graphic>
          </wp:anchor>
        </w:drawing>
      </w:r>
      <w:r>
        <w:rPr>
          <w:rFonts w:hint="eastAsia" w:ascii="仿宋" w:hAnsi="仿宋" w:eastAsia="仿宋" w:cs="仿宋"/>
          <w:sz w:val="30"/>
          <w:szCs w:val="30"/>
          <w:lang w:eastAsia="zh-CN"/>
        </w:rPr>
        <w:t>卫星应用赛项现场竞赛流程</w:t>
      </w:r>
      <w:r>
        <w:rPr>
          <w:rFonts w:hint="eastAsia" w:ascii="仿宋" w:hAnsi="仿宋" w:eastAsia="仿宋" w:cs="仿宋"/>
          <w:sz w:val="30"/>
          <w:szCs w:val="30"/>
          <w:lang w:val="en-US" w:eastAsia="zh-CN"/>
        </w:rPr>
        <w:t>如下图。</w:t>
      </w:r>
    </w:p>
    <w:p>
      <w:pPr>
        <w:pStyle w:val="12"/>
        <w:widowControl/>
        <w:ind w:left="426" w:firstLine="600"/>
        <w:rPr>
          <w:rFonts w:hint="eastAsia" w:ascii="仿宋" w:hAnsi="仿宋" w:eastAsia="仿宋" w:cs="仿宋"/>
          <w:sz w:val="30"/>
          <w:szCs w:val="30"/>
          <w:lang w:val="en-US" w:eastAsia="zh-CN"/>
        </w:rPr>
      </w:pPr>
    </w:p>
    <w:p>
      <w:pPr>
        <w:pStyle w:val="12"/>
        <w:widowControl/>
        <w:ind w:left="426" w:firstLine="60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drawing>
          <wp:inline distT="0" distB="0" distL="114300" distR="114300">
            <wp:extent cx="3103245" cy="5833745"/>
            <wp:effectExtent l="0" t="0" r="1905" b="14605"/>
            <wp:docPr id="1" name="图片 1" descr="现场竞赛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现场竞赛流程"/>
                    <pic:cNvPicPr>
                      <a:picLocks noChangeAspect="1"/>
                    </pic:cNvPicPr>
                  </pic:nvPicPr>
                  <pic:blipFill>
                    <a:blip r:embed="rId6"/>
                    <a:stretch>
                      <a:fillRect/>
                    </a:stretch>
                  </pic:blipFill>
                  <pic:spPr>
                    <a:xfrm>
                      <a:off x="0" y="0"/>
                      <a:ext cx="3103245" cy="5833745"/>
                    </a:xfrm>
                    <a:prstGeom prst="rect">
                      <a:avLst/>
                    </a:prstGeom>
                  </pic:spPr>
                </pic:pic>
              </a:graphicData>
            </a:graphic>
          </wp:inline>
        </w:drawing>
      </w:r>
    </w:p>
    <w:p>
      <w:pPr>
        <w:pStyle w:val="12"/>
        <w:widowControl/>
        <w:ind w:left="426" w:firstLine="600"/>
        <w:rPr>
          <w:rFonts w:hint="default" w:ascii="仿宋" w:hAnsi="仿宋" w:eastAsia="仿宋" w:cs="仿宋"/>
          <w:sz w:val="30"/>
          <w:szCs w:val="30"/>
          <w:lang w:val="en-US" w:eastAsia="zh-CN"/>
        </w:rPr>
      </w:pPr>
    </w:p>
    <w:p>
      <w:pPr>
        <w:spacing w:line="560" w:lineRule="exact"/>
        <w:ind w:firstLine="600" w:firstLineChars="200"/>
        <w:outlineLvl w:val="0"/>
        <w:rPr>
          <w:rFonts w:ascii="黑体" w:hAnsi="黑体" w:eastAsia="黑体" w:cs="黑体"/>
          <w:sz w:val="30"/>
          <w:szCs w:val="30"/>
        </w:rPr>
      </w:pPr>
      <w:r>
        <w:rPr>
          <w:rFonts w:hint="eastAsia" w:ascii="黑体" w:hAnsi="黑体" w:eastAsia="黑体" w:cs="黑体"/>
          <w:sz w:val="30"/>
          <w:szCs w:val="30"/>
        </w:rPr>
        <w:t>五、竞赛要求</w:t>
      </w:r>
    </w:p>
    <w:p>
      <w:pPr>
        <w:spacing w:line="560" w:lineRule="exact"/>
        <w:ind w:firstLine="600" w:firstLineChars="200"/>
        <w:jc w:val="left"/>
        <w:outlineLvl w:val="1"/>
        <w:rPr>
          <w:rFonts w:ascii="楷体" w:hAnsi="楷体" w:eastAsia="楷体" w:cs="楷体"/>
          <w:sz w:val="30"/>
          <w:szCs w:val="30"/>
        </w:rPr>
      </w:pPr>
      <w:r>
        <w:rPr>
          <w:rFonts w:hint="eastAsia" w:ascii="楷体" w:hAnsi="楷体" w:eastAsia="楷体" w:cs="楷体"/>
          <w:sz w:val="30"/>
          <w:szCs w:val="30"/>
        </w:rPr>
        <w:t>（一）报名资格及参赛队伍要求</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1.参赛队及参赛选手资格：参赛选手须为中、高职业学校全日制在籍学生；本科院校中高职类全日制在籍学生可报名参加比赛。</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2.组队要求：确定不得跨校组队，指导教师须为本校专兼职教师，参加卫星整星研制赛项的参赛队每队限报5名指导教师，参加卫星平台部组件及载荷研制与卫星应用赛项的参赛队，每队限报2名指导教师，以上参赛的指导教师均为本校专兼职教师。</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3.人员变更：参赛选手和指导教师报名获得确认后不得随意更换，如确需更换，则在竞赛前1个月书面向竞赛组委会秘书处提出申请，批准后方可更换。</w:t>
      </w:r>
    </w:p>
    <w:p>
      <w:pPr>
        <w:spacing w:line="560" w:lineRule="exact"/>
        <w:jc w:val="left"/>
        <w:outlineLvl w:val="1"/>
        <w:rPr>
          <w:rFonts w:ascii="楷体" w:hAnsi="楷体" w:eastAsia="楷体" w:cs="楷体"/>
          <w:sz w:val="30"/>
          <w:szCs w:val="30"/>
        </w:rPr>
      </w:pPr>
      <w:r>
        <w:rPr>
          <w:rFonts w:hint="eastAsia" w:ascii="楷体" w:hAnsi="楷体" w:eastAsia="楷体" w:cs="楷体"/>
          <w:sz w:val="30"/>
          <w:szCs w:val="30"/>
        </w:rPr>
        <w:t xml:space="preserve">    （二）熟悉场地</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1.赛前说明会后，竞赛执委会安排各参赛队统一有序的熟悉场地。</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2.熟悉场地严格遵守大赛各种制度，严禁拥挤、喧哗，以免发生意外事故。</w:t>
      </w:r>
    </w:p>
    <w:p>
      <w:pPr>
        <w:spacing w:line="560" w:lineRule="exact"/>
        <w:ind w:firstLine="560"/>
        <w:jc w:val="left"/>
        <w:outlineLvl w:val="1"/>
        <w:rPr>
          <w:rFonts w:ascii="楷体" w:hAnsi="楷体" w:eastAsia="楷体" w:cs="楷体"/>
          <w:sz w:val="30"/>
          <w:szCs w:val="30"/>
        </w:rPr>
      </w:pPr>
      <w:r>
        <w:rPr>
          <w:rFonts w:hint="eastAsia" w:ascii="楷体" w:hAnsi="楷体" w:eastAsia="楷体" w:cs="楷体"/>
          <w:sz w:val="30"/>
          <w:szCs w:val="30"/>
        </w:rPr>
        <w:t>（三）布展/作品调试/现场比赛</w:t>
      </w:r>
    </w:p>
    <w:p>
      <w:pPr>
        <w:spacing w:line="560" w:lineRule="exact"/>
        <w:jc w:val="left"/>
        <w:rPr>
          <w:rFonts w:ascii="仿宋" w:hAnsi="仿宋" w:eastAsia="仿宋" w:cs="仿宋"/>
          <w:sz w:val="30"/>
          <w:szCs w:val="30"/>
        </w:rPr>
      </w:pPr>
      <w:r>
        <w:rPr>
          <w:rFonts w:hint="eastAsia" w:ascii="仿宋" w:hAnsi="仿宋" w:eastAsia="仿宋" w:cs="仿宋"/>
          <w:sz w:val="30"/>
          <w:szCs w:val="30"/>
        </w:rPr>
        <w:t xml:space="preserve">    1.竞赛参赛人员按照竞赛执委会的统一安排，在规定的时间到竞赛场地指定位置进行布展。</w:t>
      </w:r>
    </w:p>
    <w:p>
      <w:pPr>
        <w:spacing w:line="560" w:lineRule="exact"/>
        <w:jc w:val="left"/>
        <w:rPr>
          <w:rFonts w:ascii="仿宋" w:hAnsi="仿宋" w:eastAsia="仿宋" w:cs="仿宋"/>
          <w:sz w:val="30"/>
          <w:szCs w:val="30"/>
        </w:rPr>
      </w:pPr>
      <w:r>
        <w:rPr>
          <w:rFonts w:hint="eastAsia" w:ascii="仿宋" w:hAnsi="仿宋" w:eastAsia="仿宋" w:cs="仿宋"/>
          <w:sz w:val="30"/>
          <w:szCs w:val="30"/>
        </w:rPr>
        <w:t xml:space="preserve">    2.布展/比赛期间要注意安全，不得随意更换展位，不得随意搭接电源。</w:t>
      </w:r>
    </w:p>
    <w:p>
      <w:pPr>
        <w:spacing w:line="560" w:lineRule="exact"/>
        <w:jc w:val="left"/>
        <w:rPr>
          <w:rFonts w:ascii="仿宋" w:hAnsi="仿宋" w:eastAsia="仿宋" w:cs="仿宋"/>
          <w:sz w:val="30"/>
          <w:szCs w:val="30"/>
        </w:rPr>
      </w:pPr>
      <w:r>
        <w:rPr>
          <w:rFonts w:hint="eastAsia" w:ascii="仿宋" w:hAnsi="仿宋" w:eastAsia="仿宋" w:cs="仿宋"/>
          <w:sz w:val="30"/>
          <w:szCs w:val="30"/>
        </w:rPr>
        <w:t xml:space="preserve">    3.布展/比赛完成后，要对本展位进行清洁，保持展位卫生。</w:t>
      </w:r>
    </w:p>
    <w:p>
      <w:pPr>
        <w:spacing w:line="560" w:lineRule="exact"/>
        <w:jc w:val="left"/>
        <w:outlineLvl w:val="1"/>
        <w:rPr>
          <w:rFonts w:ascii="楷体" w:hAnsi="楷体" w:eastAsia="楷体" w:cs="楷体"/>
          <w:sz w:val="30"/>
          <w:szCs w:val="30"/>
        </w:rPr>
      </w:pPr>
      <w:r>
        <w:rPr>
          <w:rFonts w:hint="eastAsia" w:ascii="楷体" w:hAnsi="楷体" w:eastAsia="楷体" w:cs="楷体"/>
          <w:sz w:val="30"/>
          <w:szCs w:val="30"/>
        </w:rPr>
        <w:t xml:space="preserve">    （四）文明参赛要求</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1.竞赛展览展示场地/比赛场地由大赛执委会统一提供标准展位。</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2.参赛选手在比赛开始前40分钟前到达指定地点报到，接受工作人员对选手身份、资格和有关证件的检查；竞赛评审开始后超过30分钟未到达指定地点的选手，视为自动放弃。</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3.比赛赛位由竞赛组委会根据赛项及参赛作品类别划分，各赛项及参赛作品按照项目编号在相应展位进行布展和作品调试，不得擅自变更、调整。</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4.选手在竞赛过程中不得擅自离开赛场，如有特殊情况，须经评审人员员同意；选手休息、饮水、上洗手间等，可根据评审时段自行安排。</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5.竞赛期间，选手不得随意到其他作品展位/比赛位进行交流。</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6.所有人员在赛场内不得喧哗，不得有影响其他选手完成竞赛答辩/比赛任务的行为。</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7.爱护赛场提供的器材，不得移动赛场内台桌、设备和其它物品的位置，不得故意损坏设备和其他参赛选手的作品；比赛过程中，参赛选手须严格遵守竞赛相关规定，确保设备及人身安全。</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8.不乱摆放物品，不乱丢杂物，完成竞赛答辩后清洁展位/竞赛位，废弃物品不得遗留在展位/竞赛位上。</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9.使用文明用语，尊重评委、其他选手和公开展示的参观人员，不得有辱骂和打架斗殴现象。</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10.评审/比赛过程中，除参加比赛的选手、评委、现场工作人员和经批准的人员外，其他人员一律不得进入比赛现场；比赛结束后，参赛人员应根据指令及时退出比赛现场；对不听劝阻、无理取闹者追究责任，并通报批评，情节特别恶劣者将取消参赛资格。</w:t>
      </w:r>
    </w:p>
    <w:p>
      <w:pPr>
        <w:spacing w:line="560" w:lineRule="exact"/>
        <w:jc w:val="left"/>
        <w:rPr>
          <w:rFonts w:ascii="仿宋" w:hAnsi="仿宋" w:eastAsia="仿宋" w:cs="仿宋"/>
          <w:sz w:val="30"/>
          <w:szCs w:val="30"/>
        </w:rPr>
      </w:pPr>
      <w:r>
        <w:rPr>
          <w:rFonts w:hint="eastAsia" w:ascii="仿宋" w:hAnsi="仿宋" w:eastAsia="仿宋" w:cs="仿宋"/>
          <w:sz w:val="30"/>
          <w:szCs w:val="30"/>
        </w:rPr>
        <w:t xml:space="preserve">    11.如遇突发情况，要听从现场工作人员指挥，有序进行疏散。</w:t>
      </w:r>
    </w:p>
    <w:p>
      <w:pPr>
        <w:spacing w:line="560" w:lineRule="exact"/>
        <w:ind w:firstLine="600"/>
        <w:jc w:val="left"/>
        <w:outlineLvl w:val="0"/>
        <w:rPr>
          <w:rFonts w:ascii="黑体" w:hAnsi="黑体" w:eastAsia="黑体" w:cs="黑体"/>
          <w:sz w:val="30"/>
          <w:szCs w:val="30"/>
        </w:rPr>
      </w:pPr>
      <w:r>
        <w:rPr>
          <w:rFonts w:hint="eastAsia" w:ascii="黑体" w:hAnsi="黑体" w:eastAsia="黑体" w:cs="黑体"/>
          <w:sz w:val="30"/>
          <w:szCs w:val="30"/>
        </w:rPr>
        <w:t>六、技术规范</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根据中国航天器工程研制流程与标准（GB/T29072-2012《航天器研制技术流程编写规则》、GB/T29073-2012《航天器研制计划流程编写规则》、GB/T32307-2015《航天器磁性评估和控制方法》、GB/T34515-2017《航天器热平衡试验方法》、GB/T34516-2017《航天器振动试验方法》、GB/T32304-2015《航天电子产品静电防护要求》、CH/T 2009—2010《全球定位系统实时动态测量（RTK）技术规范》、CH/T 8018—2009《全球导航卫星系统（GNSS）测量型接收机 RTK 检定规程》等）制定，涵盖航天器生命周期全阶段，卫星研制以及卫星应用相关内容。既能满足学生的日常学习需求，</w:t>
      </w:r>
      <w:r>
        <w:rPr>
          <w:rFonts w:hint="eastAsia" w:ascii="仿宋" w:hAnsi="仿宋" w:eastAsia="仿宋" w:cs="仿宋"/>
          <w:sz w:val="30"/>
          <w:szCs w:val="30"/>
          <w:lang w:val="en-US" w:eastAsia="zh-CN"/>
        </w:rPr>
        <w:t>又</w:t>
      </w:r>
      <w:r>
        <w:rPr>
          <w:rFonts w:hint="eastAsia" w:ascii="仿宋" w:hAnsi="仿宋" w:eastAsia="仿宋" w:cs="仿宋"/>
          <w:sz w:val="30"/>
          <w:szCs w:val="30"/>
        </w:rPr>
        <w:t>能够逐步提升学生能力</w:t>
      </w:r>
      <w:r>
        <w:rPr>
          <w:rFonts w:hint="eastAsia" w:ascii="仿宋" w:hAnsi="仿宋" w:eastAsia="仿宋" w:cs="仿宋"/>
          <w:sz w:val="30"/>
          <w:szCs w:val="30"/>
          <w:lang w:val="en-US" w:eastAsia="zh-CN"/>
        </w:rPr>
        <w:t>以及</w:t>
      </w:r>
      <w:r>
        <w:rPr>
          <w:rFonts w:hint="eastAsia" w:ascii="仿宋" w:hAnsi="仿宋" w:eastAsia="仿宋" w:cs="仿宋"/>
          <w:sz w:val="30"/>
          <w:szCs w:val="30"/>
        </w:rPr>
        <w:t>对航天企业职业技能需求的满足程度。</w:t>
      </w:r>
    </w:p>
    <w:p>
      <w:pPr>
        <w:numPr>
          <w:ilvl w:val="0"/>
          <w:numId w:val="1"/>
        </w:numPr>
        <w:spacing w:line="560" w:lineRule="exact"/>
        <w:ind w:firstLine="600" w:firstLineChars="200"/>
        <w:outlineLvl w:val="1"/>
        <w:rPr>
          <w:rFonts w:ascii="仿宋" w:hAnsi="仿宋" w:eastAsia="仿宋" w:cs="仿宋"/>
          <w:sz w:val="30"/>
          <w:szCs w:val="30"/>
        </w:rPr>
      </w:pPr>
      <w:r>
        <w:rPr>
          <w:rFonts w:hint="eastAsia" w:ascii="仿宋" w:hAnsi="仿宋" w:eastAsia="仿宋" w:cs="仿宋"/>
          <w:sz w:val="30"/>
          <w:szCs w:val="30"/>
        </w:rPr>
        <w:t>专业术语</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1、航天</w:t>
      </w:r>
      <w:r>
        <w:rPr>
          <w:rFonts w:hint="eastAsia" w:ascii="仿宋" w:hAnsi="仿宋" w:eastAsia="仿宋" w:cs="仿宋"/>
          <w:sz w:val="30"/>
          <w:szCs w:val="30"/>
          <w:lang w:val="en-US" w:eastAsia="zh-CN"/>
        </w:rPr>
        <w:t>器</w:t>
      </w:r>
      <w:r>
        <w:rPr>
          <w:rFonts w:ascii="仿宋" w:hAnsi="仿宋" w:eastAsia="仿宋" w:cs="仿宋"/>
          <w:sz w:val="30"/>
          <w:szCs w:val="30"/>
        </w:rPr>
        <w:t>结构：航天器结构是为航天器提供总体构型，为航天器上设备提供支撑，并承受和传递载荷的零部件的总称。</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2、零件：零件指预期的设计功能和逻辑上都不能分割的一个硬件单元。</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3、部件：部件是为了完成较高层功能的由多个零部件组装而成的整体。</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4、组件：组件是完成分系统某种功能的一组项目。</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5、分系统或仪器：分系统或仪器是为了完成特定功能的由多个部</w:t>
      </w:r>
      <w:r>
        <w:rPr>
          <w:rFonts w:hint="eastAsia" w:ascii="仿宋" w:hAnsi="仿宋" w:eastAsia="仿宋" w:cs="仿宋"/>
          <w:sz w:val="30"/>
          <w:szCs w:val="30"/>
          <w:lang w:val="en-US" w:eastAsia="zh-CN"/>
        </w:rPr>
        <w:t>/</w:t>
      </w:r>
      <w:r>
        <w:rPr>
          <w:rFonts w:ascii="仿宋" w:hAnsi="仿宋" w:eastAsia="仿宋" w:cs="仿宋"/>
          <w:sz w:val="30"/>
          <w:szCs w:val="30"/>
        </w:rPr>
        <w:t>组件组装而成的整体。</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6、系统：系统是为了满足任务需求由分系统所有功能组成的一个整体。</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7、模拟星：指结构件为真实件，仪器、设备为真实件的</w:t>
      </w:r>
      <w:r>
        <w:rPr>
          <w:rFonts w:hint="eastAsia" w:ascii="仿宋" w:hAnsi="仿宋" w:eastAsia="仿宋" w:cs="仿宋"/>
          <w:sz w:val="30"/>
          <w:szCs w:val="30"/>
          <w:lang w:val="en-US" w:eastAsia="zh-CN"/>
        </w:rPr>
        <w:t>实物</w:t>
      </w:r>
      <w:r>
        <w:rPr>
          <w:rFonts w:hint="eastAsia" w:ascii="仿宋" w:hAnsi="仿宋" w:eastAsia="仿宋" w:cs="仿宋"/>
          <w:sz w:val="30"/>
          <w:szCs w:val="30"/>
        </w:rPr>
        <w:t>仿真卫星。</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8、结构星：指结构件为真实件，仪器、设备为模拟件的实物</w:t>
      </w:r>
      <w:r>
        <w:rPr>
          <w:rFonts w:hint="eastAsia" w:ascii="仿宋" w:hAnsi="仿宋" w:eastAsia="仿宋" w:cs="仿宋"/>
          <w:sz w:val="30"/>
          <w:szCs w:val="30"/>
          <w:lang w:val="en-US" w:eastAsia="zh-CN"/>
        </w:rPr>
        <w:t>仿真</w:t>
      </w:r>
      <w:r>
        <w:rPr>
          <w:rFonts w:hint="eastAsia" w:ascii="仿宋" w:hAnsi="仿宋" w:eastAsia="仿宋" w:cs="仿宋"/>
          <w:sz w:val="30"/>
          <w:szCs w:val="30"/>
        </w:rPr>
        <w:t>卫星。</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9、电性星：指结构件为模拟件，仪器、设备为真实件的实物</w:t>
      </w:r>
      <w:r>
        <w:rPr>
          <w:rFonts w:hint="eastAsia" w:ascii="仿宋" w:hAnsi="仿宋" w:eastAsia="仿宋" w:cs="仿宋"/>
          <w:sz w:val="30"/>
          <w:szCs w:val="30"/>
          <w:lang w:val="en-US" w:eastAsia="zh-CN"/>
        </w:rPr>
        <w:t>仿真</w:t>
      </w:r>
      <w:r>
        <w:rPr>
          <w:rFonts w:hint="eastAsia" w:ascii="仿宋" w:hAnsi="仿宋" w:eastAsia="仿宋" w:cs="仿宋"/>
          <w:sz w:val="30"/>
          <w:szCs w:val="30"/>
        </w:rPr>
        <w:t>卫星。</w:t>
      </w:r>
    </w:p>
    <w:p>
      <w:pPr>
        <w:spacing w:line="560" w:lineRule="exact"/>
        <w:ind w:firstLine="600" w:firstLineChars="200"/>
        <w:outlineLvl w:val="1"/>
        <w:rPr>
          <w:rFonts w:ascii="仿宋" w:hAnsi="仿宋" w:eastAsia="仿宋" w:cs="仿宋"/>
          <w:sz w:val="30"/>
          <w:szCs w:val="30"/>
        </w:rPr>
      </w:pPr>
      <w:r>
        <w:rPr>
          <w:rFonts w:hint="eastAsia" w:ascii="仿宋" w:hAnsi="仿宋" w:eastAsia="仿宋" w:cs="仿宋"/>
          <w:sz w:val="30"/>
          <w:szCs w:val="30"/>
        </w:rPr>
        <w:t>（二）科普卫星整星研制参赛作品要求</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科普卫星整星研制参赛作品包括以下三类：</w:t>
      </w:r>
    </w:p>
    <w:p>
      <w:pPr>
        <w:spacing w:line="560" w:lineRule="exact"/>
        <w:ind w:firstLine="600" w:firstLineChars="200"/>
        <w:outlineLvl w:val="2"/>
        <w:rPr>
          <w:rFonts w:ascii="仿宋" w:hAnsi="仿宋" w:eastAsia="仿宋" w:cs="仿宋"/>
          <w:sz w:val="30"/>
          <w:szCs w:val="30"/>
        </w:rPr>
      </w:pPr>
      <w:r>
        <w:rPr>
          <w:rFonts w:hint="eastAsia" w:ascii="仿宋" w:hAnsi="仿宋" w:eastAsia="仿宋" w:cs="仿宋"/>
          <w:sz w:val="30"/>
          <w:szCs w:val="30"/>
        </w:rPr>
        <w:t>1、模拟星：主要考察卫星力学特性、电性能指标；</w:t>
      </w:r>
    </w:p>
    <w:p>
      <w:pPr>
        <w:spacing w:line="560" w:lineRule="exact"/>
        <w:ind w:firstLine="600" w:firstLineChars="200"/>
        <w:outlineLvl w:val="2"/>
        <w:rPr>
          <w:rFonts w:ascii="仿宋" w:hAnsi="仿宋" w:eastAsia="仿宋" w:cs="仿宋"/>
          <w:sz w:val="30"/>
          <w:szCs w:val="30"/>
        </w:rPr>
      </w:pPr>
      <w:r>
        <w:rPr>
          <w:rFonts w:hint="eastAsia" w:ascii="仿宋" w:hAnsi="仿宋" w:eastAsia="仿宋" w:cs="仿宋"/>
          <w:sz w:val="30"/>
          <w:szCs w:val="30"/>
        </w:rPr>
        <w:t>2、结构星：主要考察卫星力学特性；</w:t>
      </w:r>
    </w:p>
    <w:p>
      <w:pPr>
        <w:spacing w:line="560" w:lineRule="exact"/>
        <w:ind w:firstLine="600" w:firstLineChars="200"/>
        <w:outlineLvl w:val="2"/>
        <w:rPr>
          <w:rFonts w:ascii="仿宋" w:hAnsi="仿宋" w:eastAsia="仿宋" w:cs="仿宋"/>
          <w:sz w:val="30"/>
          <w:szCs w:val="30"/>
        </w:rPr>
      </w:pPr>
      <w:r>
        <w:rPr>
          <w:rFonts w:hint="eastAsia" w:ascii="仿宋" w:hAnsi="仿宋" w:eastAsia="仿宋" w:cs="仿宋"/>
          <w:sz w:val="30"/>
          <w:szCs w:val="30"/>
        </w:rPr>
        <w:t>3、电性星：电性星主要考察卫星电性能指标。</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整星研制参赛作品需要提交内容包括：</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1、模拟星、结构性或电性星的整星</w:t>
      </w:r>
      <w:r>
        <w:rPr>
          <w:rFonts w:hint="eastAsia" w:ascii="仿宋" w:hAnsi="仿宋" w:eastAsia="仿宋" w:cs="仿宋"/>
          <w:sz w:val="30"/>
          <w:szCs w:val="30"/>
          <w:lang w:val="en-US" w:eastAsia="zh-CN"/>
        </w:rPr>
        <w:t>模拟</w:t>
      </w:r>
      <w:r>
        <w:rPr>
          <w:rFonts w:hint="eastAsia" w:ascii="仿宋" w:hAnsi="仿宋" w:eastAsia="仿宋" w:cs="仿宋"/>
          <w:sz w:val="30"/>
          <w:szCs w:val="30"/>
        </w:rPr>
        <w:t>实物。</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2、整星的任务设计及详细指标设计，以任务书文档形式提交。</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3、整星总体设计报告，可包括总体设计、卫星平台设计、卫星载荷设计、弹射装置设计等，并以总体设计报告文档形式提交。</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4、软件代码，可包括星务软件、通信软件、姿轨控软件、电源管理软件等系统软件等，以源码方式提交。</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5、详细设计文件，可包括结构设计文件、电气设计文件、软件概要及详细设计文件、装配或安装文件、总装技术要求文件、总装测试工艺文件等，并以详细设计图纸、技术要求文件等形式提交。</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6、测试及试验报告，包括软件测试报告、环境试验报告、分系统及系统级电测报告等，以文件形式提交。</w:t>
      </w:r>
    </w:p>
    <w:p>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7、其他文件，包括技术报告、相关知识产权文件、功能演示文件或视频，汇报PPT等。</w:t>
      </w:r>
    </w:p>
    <w:p>
      <w:p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整星研制参赛作品提交</w:t>
      </w:r>
      <w:r>
        <w:rPr>
          <w:rFonts w:hint="eastAsia" w:ascii="仿宋" w:hAnsi="仿宋" w:eastAsia="仿宋" w:cs="仿宋"/>
          <w:sz w:val="30"/>
          <w:szCs w:val="30"/>
          <w:lang w:val="en-US" w:eastAsia="zh-CN"/>
        </w:rPr>
        <w:t>要求如下：</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1、提交内容齐套，其中上述“</w:t>
      </w:r>
      <w:r>
        <w:rPr>
          <w:rFonts w:hint="eastAsia" w:ascii="仿宋" w:hAnsi="仿宋" w:eastAsia="仿宋" w:cs="仿宋"/>
          <w:sz w:val="30"/>
          <w:szCs w:val="30"/>
        </w:rPr>
        <w:t>整星研制参赛作品需要提交内容</w:t>
      </w:r>
      <w:r>
        <w:rPr>
          <w:rFonts w:hint="eastAsia" w:ascii="仿宋" w:hAnsi="仿宋" w:eastAsia="仿宋" w:cs="仿宋"/>
          <w:sz w:val="30"/>
          <w:szCs w:val="30"/>
          <w:lang w:val="en-US" w:eastAsia="zh-CN"/>
        </w:rPr>
        <w:t>”中第1、2、3、7为必须提供内容，第4、5、6条为选择提交内容。</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2、任务目标新颖、创新性强，需求分析细致，任务指标明确。</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3、总体设计方案覆盖全面，能够满足任务需求，并提供多种方案，同时能够进行优缺点比较，进行技术选型等。</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4、能够提出关键技术，并提供成果展示或总结报告。</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5、指标分配合理，具有科学性、可靠性、安全性、先进性，并具有相关分析。</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6、有明确的研制队伍，且分工合理。</w:t>
      </w:r>
    </w:p>
    <w:p>
      <w:p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7、测试及试验设计合理，并有相关报告。</w:t>
      </w:r>
    </w:p>
    <w:p>
      <w:pPr>
        <w:spacing w:line="560" w:lineRule="exact"/>
        <w:ind w:firstLine="600" w:firstLineChars="200"/>
        <w:outlineLvl w:val="1"/>
        <w:rPr>
          <w:rFonts w:ascii="仿宋" w:hAnsi="仿宋" w:eastAsia="仿宋" w:cs="仿宋"/>
          <w:sz w:val="30"/>
          <w:szCs w:val="30"/>
        </w:rPr>
      </w:pPr>
      <w:r>
        <w:rPr>
          <w:rFonts w:hint="eastAsia" w:ascii="仿宋" w:hAnsi="仿宋" w:eastAsia="仿宋" w:cs="仿宋"/>
          <w:sz w:val="30"/>
          <w:szCs w:val="30"/>
        </w:rPr>
        <w:t>（三）卫星平台部组件及载荷研制参赛作品要求</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卫星平台部组件及载荷研制</w:t>
      </w:r>
      <w:r>
        <w:rPr>
          <w:rFonts w:hint="eastAsia" w:ascii="仿宋" w:hAnsi="仿宋" w:eastAsia="仿宋" w:cs="仿宋"/>
          <w:sz w:val="30"/>
          <w:szCs w:val="30"/>
          <w:lang w:val="en-US" w:eastAsia="zh-CN"/>
        </w:rPr>
        <w:t>竞赛分为</w:t>
      </w:r>
      <w:r>
        <w:rPr>
          <w:rFonts w:hint="eastAsia" w:ascii="仿宋" w:hAnsi="仿宋" w:eastAsia="仿宋" w:cs="仿宋"/>
          <w:sz w:val="30"/>
          <w:szCs w:val="30"/>
        </w:rPr>
        <w:t>小组1“开放式研制”</w:t>
      </w:r>
      <w:r>
        <w:rPr>
          <w:rFonts w:hint="eastAsia" w:ascii="仿宋" w:hAnsi="仿宋" w:eastAsia="仿宋" w:cs="仿宋"/>
          <w:sz w:val="30"/>
          <w:szCs w:val="30"/>
          <w:lang w:val="en-US" w:eastAsia="zh-CN"/>
        </w:rPr>
        <w:t>和小组2“</w:t>
      </w:r>
      <w:r>
        <w:rPr>
          <w:rFonts w:ascii="仿宋" w:hAnsi="仿宋" w:eastAsia="仿宋" w:cs="仿宋"/>
          <w:sz w:val="30"/>
          <w:szCs w:val="30"/>
        </w:rPr>
        <w:t>命题式研制</w:t>
      </w:r>
      <w:r>
        <w:rPr>
          <w:rFonts w:hint="eastAsia" w:ascii="仿宋" w:hAnsi="仿宋" w:eastAsia="仿宋" w:cs="仿宋"/>
          <w:sz w:val="30"/>
          <w:szCs w:val="30"/>
          <w:lang w:val="en-US" w:eastAsia="zh-CN"/>
        </w:rPr>
        <w:t>”。</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小组1“开放式研制”参赛作品可包括自主创意的</w:t>
      </w:r>
      <w:r>
        <w:rPr>
          <w:rFonts w:ascii="仿宋" w:hAnsi="仿宋" w:eastAsia="仿宋" w:cs="仿宋"/>
          <w:sz w:val="30"/>
          <w:szCs w:val="30"/>
        </w:rPr>
        <w:t>部组件级参赛作品</w:t>
      </w:r>
      <w:r>
        <w:rPr>
          <w:rFonts w:hint="eastAsia" w:ascii="仿宋" w:hAnsi="仿宋" w:eastAsia="仿宋" w:cs="仿宋"/>
          <w:sz w:val="30"/>
          <w:szCs w:val="30"/>
          <w:lang w:val="en-US" w:eastAsia="zh-CN"/>
        </w:rPr>
        <w:t>与</w:t>
      </w:r>
      <w:r>
        <w:rPr>
          <w:rFonts w:hint="eastAsia" w:ascii="仿宋" w:hAnsi="仿宋" w:eastAsia="仿宋" w:cs="仿宋"/>
          <w:sz w:val="30"/>
          <w:szCs w:val="30"/>
        </w:rPr>
        <w:t>自主创意的</w:t>
      </w:r>
      <w:r>
        <w:rPr>
          <w:rFonts w:ascii="仿宋" w:hAnsi="仿宋" w:eastAsia="仿宋" w:cs="仿宋"/>
          <w:sz w:val="30"/>
          <w:szCs w:val="30"/>
        </w:rPr>
        <w:t>分系统或仪器级参赛作品</w:t>
      </w:r>
      <w:r>
        <w:rPr>
          <w:rFonts w:hint="eastAsia" w:ascii="仿宋" w:hAnsi="仿宋" w:eastAsia="仿宋" w:cs="仿宋"/>
          <w:sz w:val="30"/>
          <w:szCs w:val="30"/>
        </w:rPr>
        <w:t>。</w:t>
      </w:r>
    </w:p>
    <w:p>
      <w:pPr>
        <w:spacing w:line="560" w:lineRule="exact"/>
        <w:ind w:firstLine="600" w:firstLineChars="200"/>
        <w:rPr>
          <w:rFonts w:hint="default" w:ascii="仿宋" w:hAnsi="仿宋" w:eastAsia="仿宋" w:cs="仿宋"/>
          <w:sz w:val="30"/>
          <w:szCs w:val="30"/>
          <w:lang w:val="en-US" w:eastAsia="zh-CN"/>
        </w:rPr>
      </w:pPr>
      <w:r>
        <w:rPr>
          <w:rFonts w:ascii="仿宋" w:hAnsi="仿宋" w:eastAsia="仿宋" w:cs="仿宋"/>
          <w:sz w:val="30"/>
          <w:szCs w:val="30"/>
        </w:rPr>
        <w:t>小组2</w:t>
      </w:r>
      <w:r>
        <w:rPr>
          <w:rFonts w:hint="eastAsia" w:ascii="仿宋" w:hAnsi="仿宋" w:eastAsia="仿宋" w:cs="仿宋"/>
          <w:sz w:val="30"/>
          <w:szCs w:val="30"/>
        </w:rPr>
        <w:t>“</w:t>
      </w:r>
      <w:r>
        <w:rPr>
          <w:rFonts w:ascii="仿宋" w:hAnsi="仿宋" w:eastAsia="仿宋" w:cs="仿宋"/>
          <w:sz w:val="30"/>
          <w:szCs w:val="30"/>
        </w:rPr>
        <w:t>命题式研制</w:t>
      </w:r>
      <w:r>
        <w:rPr>
          <w:rFonts w:hint="eastAsia" w:ascii="仿宋" w:hAnsi="仿宋" w:eastAsia="仿宋" w:cs="仿宋"/>
          <w:sz w:val="30"/>
          <w:szCs w:val="30"/>
        </w:rPr>
        <w:t>”参赛作品包括按大赛题目要求研制的部组件或分系统实物产品。</w:t>
      </w:r>
    </w:p>
    <w:p>
      <w:p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卫星平台部组件及载荷研制参赛作品需要提交内容包括：</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1、部组件、分系统或仪器</w:t>
      </w:r>
      <w:r>
        <w:rPr>
          <w:rFonts w:hint="eastAsia" w:ascii="仿宋" w:hAnsi="仿宋" w:eastAsia="仿宋" w:cs="仿宋"/>
          <w:sz w:val="30"/>
          <w:szCs w:val="30"/>
          <w:lang w:val="en-US" w:eastAsia="zh-CN"/>
        </w:rPr>
        <w:t>模拟</w:t>
      </w:r>
      <w:r>
        <w:rPr>
          <w:rFonts w:ascii="仿宋" w:hAnsi="仿宋" w:eastAsia="仿宋" w:cs="仿宋"/>
          <w:sz w:val="30"/>
          <w:szCs w:val="30"/>
        </w:rPr>
        <w:t>实物。</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2、部组件、分系统或仪器的功能设计及详细指标设计，以任务书文档形式提交。</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3、部组件、分系统或仪器的设计报告，包括总体设计、结构设计、电气设计、软件设计等，并以总体设计报告文档形式提交。</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4、软件代码，可包括星务软件、通信软件、姿轨控软件、电源管理软件、图像处理软件等系统软件等，以源码方式提交。</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5、详细设计文件，可包括结构设计文件、电气设计文件、软件概要及详细设计文件、装配或安装文件、总装技术要求文件、总装测试工艺文件等，并以详细设计图纸、技术要求文件等形式提交。</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6、测试及试验报告，包括软件测试报告、环境试验报告、分系统及系统级电测报告等，以文件形式提交。</w:t>
      </w:r>
    </w:p>
    <w:p>
      <w:pPr>
        <w:spacing w:line="560" w:lineRule="exact"/>
        <w:ind w:firstLine="600" w:firstLineChars="200"/>
        <w:rPr>
          <w:rFonts w:ascii="仿宋" w:hAnsi="仿宋" w:eastAsia="仿宋" w:cs="仿宋"/>
          <w:sz w:val="30"/>
          <w:szCs w:val="30"/>
        </w:rPr>
      </w:pPr>
      <w:r>
        <w:rPr>
          <w:rFonts w:ascii="仿宋" w:hAnsi="仿宋" w:eastAsia="仿宋" w:cs="仿宋"/>
          <w:sz w:val="30"/>
          <w:szCs w:val="30"/>
        </w:rPr>
        <w:t>7、其他文件，包括技术报告、相关知识产权文件、功能演示文件或视频，汇报PPT等。</w:t>
      </w:r>
    </w:p>
    <w:p>
      <w:p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卫星平台部组件及载荷研制作品提交</w:t>
      </w:r>
      <w:r>
        <w:rPr>
          <w:rFonts w:hint="eastAsia" w:ascii="仿宋" w:hAnsi="仿宋" w:eastAsia="仿宋" w:cs="仿宋"/>
          <w:sz w:val="30"/>
          <w:szCs w:val="30"/>
          <w:lang w:val="en-US" w:eastAsia="zh-CN"/>
        </w:rPr>
        <w:t>要求如下：</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提交内容齐套，其中上述“</w:t>
      </w:r>
      <w:r>
        <w:rPr>
          <w:rFonts w:hint="eastAsia" w:ascii="仿宋" w:hAnsi="仿宋" w:eastAsia="仿宋" w:cs="仿宋"/>
          <w:sz w:val="30"/>
          <w:szCs w:val="30"/>
        </w:rPr>
        <w:t>卫星平台部组件及载荷研制参赛作品需要提交内容</w:t>
      </w:r>
      <w:r>
        <w:rPr>
          <w:rFonts w:hint="eastAsia" w:ascii="仿宋" w:hAnsi="仿宋" w:eastAsia="仿宋" w:cs="仿宋"/>
          <w:sz w:val="32"/>
          <w:szCs w:val="32"/>
          <w:lang w:val="en-US" w:eastAsia="zh-CN"/>
        </w:rPr>
        <w:t>”中第1、2、3、7为必须提供内容，第4、5、6条为选择提交内容。</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设计</w:t>
      </w:r>
      <w:r>
        <w:rPr>
          <w:rFonts w:hint="default" w:ascii="仿宋" w:hAnsi="仿宋" w:eastAsia="仿宋" w:cs="仿宋"/>
          <w:sz w:val="32"/>
          <w:szCs w:val="32"/>
          <w:lang w:val="en-US" w:eastAsia="zh-CN"/>
        </w:rPr>
        <w:t>目标新颖、创新性强，需求分析细致</w:t>
      </w:r>
      <w:r>
        <w:rPr>
          <w:rFonts w:hint="eastAsia" w:ascii="仿宋" w:hAnsi="仿宋" w:eastAsia="仿宋" w:cs="仿宋"/>
          <w:sz w:val="32"/>
          <w:szCs w:val="32"/>
          <w:lang w:val="en-US" w:eastAsia="zh-CN"/>
        </w:rPr>
        <w:t>，任务指标明确。</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设计方案覆盖全面，能够满足设计需求，并提供多种方案，同时能够进行优缺点比较，进行技术选型等。</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能够提出关键技术，</w:t>
      </w:r>
      <w:r>
        <w:rPr>
          <w:rFonts w:hint="eastAsia" w:ascii="仿宋" w:hAnsi="仿宋" w:eastAsia="仿宋" w:cs="仿宋"/>
          <w:sz w:val="32"/>
          <w:szCs w:val="32"/>
          <w:lang w:val="en-US" w:eastAsia="zh-CN"/>
        </w:rPr>
        <w:t>并</w:t>
      </w:r>
      <w:r>
        <w:rPr>
          <w:rFonts w:hint="default" w:ascii="仿宋" w:hAnsi="仿宋" w:eastAsia="仿宋" w:cs="仿宋"/>
          <w:sz w:val="32"/>
          <w:szCs w:val="32"/>
          <w:lang w:val="en-US" w:eastAsia="zh-CN"/>
        </w:rPr>
        <w:t>提供成果展示或总结报告</w:t>
      </w:r>
      <w:r>
        <w:rPr>
          <w:rFonts w:hint="eastAsia" w:ascii="仿宋" w:hAnsi="仿宋" w:eastAsia="仿宋" w:cs="仿宋"/>
          <w:sz w:val="32"/>
          <w:szCs w:val="32"/>
          <w:lang w:val="en-US" w:eastAsia="zh-CN"/>
        </w:rPr>
        <w:t>。</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指标分配合理，具有科学性、可靠性、安全性、先进性，并具有相关分析。</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有明确的研制队伍，且分工合理。</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测试及试验设计合理，并有相关报告。</w:t>
      </w:r>
    </w:p>
    <w:p>
      <w:p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小组 “开放式研制”可自行选取研制方向。</w:t>
      </w:r>
      <w:r>
        <w:rPr>
          <w:rFonts w:ascii="仿宋" w:hAnsi="仿宋" w:eastAsia="仿宋" w:cs="仿宋"/>
          <w:sz w:val="30"/>
          <w:szCs w:val="30"/>
        </w:rPr>
        <w:t>小组2</w:t>
      </w:r>
      <w:r>
        <w:rPr>
          <w:rFonts w:hint="eastAsia" w:ascii="仿宋" w:hAnsi="仿宋" w:eastAsia="仿宋" w:cs="仿宋"/>
          <w:sz w:val="30"/>
          <w:szCs w:val="30"/>
        </w:rPr>
        <w:t>“</w:t>
      </w:r>
      <w:r>
        <w:rPr>
          <w:rFonts w:ascii="仿宋" w:hAnsi="仿宋" w:eastAsia="仿宋" w:cs="仿宋"/>
          <w:sz w:val="30"/>
          <w:szCs w:val="30"/>
        </w:rPr>
        <w:t>命题式研制</w:t>
      </w:r>
      <w:r>
        <w:rPr>
          <w:rFonts w:hint="eastAsia" w:ascii="仿宋" w:hAnsi="仿宋" w:eastAsia="仿宋" w:cs="仿宋"/>
          <w:sz w:val="30"/>
          <w:szCs w:val="30"/>
        </w:rPr>
        <w:t>”</w:t>
      </w:r>
      <w:r>
        <w:rPr>
          <w:rFonts w:hint="eastAsia" w:ascii="仿宋" w:hAnsi="仿宋" w:eastAsia="仿宋" w:cs="仿宋"/>
          <w:sz w:val="30"/>
          <w:szCs w:val="30"/>
          <w:lang w:val="en-US" w:eastAsia="zh-CN"/>
        </w:rPr>
        <w:t>具体赛题包括“机械设计制造类-太阳能帆板展开机构研制”、“太阳能帆板展开机构研制要求”和“电子信息类-卫星地面接收组件研制”。</w:t>
      </w:r>
    </w:p>
    <w:p>
      <w:pPr>
        <w:spacing w:line="5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1、机械设计制造类-太阳能帆板展开机构研制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（1）太阳能帆板展开机构</w:t>
      </w:r>
      <w:r>
        <w:rPr>
          <w:rFonts w:hint="eastAsia" w:ascii="仿宋" w:hAnsi="仿宋" w:eastAsia="仿宋" w:cs="仿宋"/>
          <w:sz w:val="30"/>
          <w:szCs w:val="30"/>
          <w:lang w:val="en-US" w:eastAsia="zh-CN"/>
        </w:rPr>
        <w:t>介绍</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太阳能帆板展开机构在发射阶段处于折叠状态，减小卫星的体积，待卫星入轨收到指令后，太阳能帆板展开，使得太阳能电池片对准太阳光方向，获取最大的电能，为整星提供足够的能量。</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太阳能帆板展开机构包含体装板、展开帆板、两个根部铰链和一个解锁机构，如下图所示。其中，体装板通过螺钉直接与卫星框架进行连接；展开帆板与体装板之间通过两个根部铰链进行连接，构成一维转动副；解锁机构完成展开帆板的锁定与解锁。</w:t>
      </w:r>
    </w:p>
    <w:p>
      <w:pPr>
        <w:snapToGrid w:val="0"/>
        <w:spacing w:line="560" w:lineRule="exact"/>
        <w:rPr>
          <w:rFonts w:hint="eastAsia" w:ascii="仿宋" w:hAnsi="仿宋" w:eastAsia="仿宋" w:cs="仿宋"/>
          <w:sz w:val="30"/>
          <w:szCs w:val="30"/>
        </w:rPr>
      </w:pPr>
    </w:p>
    <w:p>
      <w:pPr>
        <w:pStyle w:val="2"/>
        <w:ind w:firstLine="0" w:firstLineChars="0"/>
        <w:jc w:val="center"/>
        <w:rPr>
          <w:rFonts w:hint="eastAsia"/>
        </w:rPr>
      </w:pPr>
      <w:r>
        <w:rPr>
          <w:rFonts w:hint="eastAsia"/>
        </w:rPr>
        <w:drawing>
          <wp:inline distT="0" distB="0" distL="114300" distR="114300">
            <wp:extent cx="4297680" cy="299339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rcRect l="23216" t="16171" r="13686" b="5923"/>
                    <a:stretch>
                      <a:fillRect/>
                    </a:stretch>
                  </pic:blipFill>
                  <pic:spPr>
                    <a:xfrm>
                      <a:off x="0" y="0"/>
                      <a:ext cx="4297680" cy="2993390"/>
                    </a:xfrm>
                    <a:prstGeom prst="rect">
                      <a:avLst/>
                    </a:prstGeom>
                    <a:noFill/>
                    <a:ln>
                      <a:noFill/>
                    </a:ln>
                  </pic:spPr>
                </pic:pic>
              </a:graphicData>
            </a:graphic>
          </wp:inline>
        </w:drawing>
      </w:r>
    </w:p>
    <w:p>
      <w:pPr>
        <w:snapToGrid w:val="0"/>
        <w:spacing w:line="560" w:lineRule="exact"/>
        <w:jc w:val="center"/>
        <w:rPr>
          <w:rFonts w:hint="eastAsia" w:ascii="仿宋" w:hAnsi="仿宋" w:eastAsia="仿宋" w:cs="仿宋"/>
          <w:sz w:val="30"/>
          <w:szCs w:val="30"/>
        </w:rPr>
      </w:pPr>
      <w:r>
        <w:rPr>
          <w:rFonts w:hint="eastAsia" w:ascii="仿宋" w:hAnsi="仿宋" w:eastAsia="仿宋" w:cs="仿宋"/>
          <w:sz w:val="28"/>
          <w:szCs w:val="28"/>
          <w:lang w:val="en-US" w:eastAsia="zh-CN"/>
        </w:rPr>
        <w:t xml:space="preserve">图 </w:t>
      </w:r>
      <w:r>
        <w:rPr>
          <w:rFonts w:hint="eastAsia" w:ascii="仿宋" w:hAnsi="仿宋" w:eastAsia="仿宋" w:cs="仿宋"/>
          <w:sz w:val="28"/>
          <w:szCs w:val="28"/>
        </w:rPr>
        <w:t>太阳能帆板展开机构</w:t>
      </w:r>
    </w:p>
    <w:p>
      <w:pPr>
        <w:snapToGrid w:val="0"/>
        <w:spacing w:line="560" w:lineRule="exact"/>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highlight w:val="none"/>
          <w:lang w:val="en-US" w:eastAsia="zh-CN"/>
        </w:rPr>
        <w:t>（2）太阳能帆板展开机构</w:t>
      </w:r>
      <w:r>
        <w:rPr>
          <w:rFonts w:hint="eastAsia" w:ascii="仿宋" w:hAnsi="仿宋" w:eastAsia="仿宋" w:cs="仿宋"/>
          <w:sz w:val="30"/>
          <w:szCs w:val="30"/>
          <w:lang w:val="en-US" w:eastAsia="zh-CN"/>
        </w:rPr>
        <w:t>研制要求</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机构供电电压12V±1V，供电电流&lt;3A，供电时长&lt;10s；</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帆板展开角度：90°；</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连接方案简单，可重复使用，重复验证，可靠性高；</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提供分离指示开关信号。</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highlight w:val="none"/>
          <w:lang w:val="en-US" w:eastAsia="zh-CN"/>
        </w:rPr>
        <w:t>太阳能帆板展开机构</w:t>
      </w:r>
      <w:r>
        <w:rPr>
          <w:rFonts w:hint="eastAsia" w:ascii="仿宋" w:hAnsi="仿宋" w:eastAsia="仿宋" w:cs="仿宋"/>
          <w:sz w:val="30"/>
          <w:szCs w:val="30"/>
          <w:lang w:val="en-US" w:eastAsia="zh-CN"/>
        </w:rPr>
        <w:t>设计方案提示</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由于体装板与展开板属于固定部件，在此不做详细设计说明，重点对根部铰链以及解锁机构进行设计说明。</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根部铰链一边连接卫星本体，一边连接展开帆板。由于帆板为可动部件，为了方便帆板的限位，连接卫星铰链在内侧，连接帆板铰链在外侧。扭转弹簧为帆板展开驱动动力源，保证展开到位后扭转弹簧仍然具有较小力矩，迫使帆板在反弹冲击、摩擦等外部因素综合作用下可以最终到位。</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根部铰链设计两种状态，折叠状态下体装板与展开板平行，展开后两者呈90°夹角。两种状态下均采用机械限位提高刚度，如下图所示，帆板压紧状态下铰链有限位；帆板展开后铰链有限位；另外帆板展开到位后弹性插销锁定，防止回弹，锁定可靠。</w:t>
      </w:r>
    </w:p>
    <w:p>
      <w:pPr>
        <w:pStyle w:val="2"/>
        <w:ind w:firstLine="0" w:firstLineChars="0"/>
        <w:jc w:val="center"/>
        <w:rPr>
          <w:rFonts w:hint="eastAsia"/>
        </w:rPr>
      </w:pPr>
      <w:r>
        <w:drawing>
          <wp:inline distT="0" distB="0" distL="114300" distR="114300">
            <wp:extent cx="2028825" cy="838835"/>
            <wp:effectExtent l="0" t="0" r="9525"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rcRect l="27452" t="32710" r="34094" b="39018"/>
                    <a:stretch>
                      <a:fillRect/>
                    </a:stretch>
                  </pic:blipFill>
                  <pic:spPr>
                    <a:xfrm>
                      <a:off x="0" y="0"/>
                      <a:ext cx="2028825" cy="838835"/>
                    </a:xfrm>
                    <a:prstGeom prst="rect">
                      <a:avLst/>
                    </a:prstGeom>
                    <a:noFill/>
                    <a:ln>
                      <a:noFill/>
                    </a:ln>
                  </pic:spPr>
                </pic:pic>
              </a:graphicData>
            </a:graphic>
          </wp:inline>
        </w:drawing>
      </w:r>
      <w:r>
        <w:rPr>
          <w:rFonts w:hint="eastAsia"/>
        </w:rPr>
        <w:t xml:space="preserve">            </w:t>
      </w:r>
      <w:r>
        <w:drawing>
          <wp:inline distT="0" distB="0" distL="114300" distR="114300">
            <wp:extent cx="1727835" cy="1019175"/>
            <wp:effectExtent l="0" t="0" r="5715"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rcRect l="37422" t="46201" r="29863" b="19392"/>
                    <a:stretch>
                      <a:fillRect/>
                    </a:stretch>
                  </pic:blipFill>
                  <pic:spPr>
                    <a:xfrm>
                      <a:off x="0" y="0"/>
                      <a:ext cx="1727835" cy="1019175"/>
                    </a:xfrm>
                    <a:prstGeom prst="rect">
                      <a:avLst/>
                    </a:prstGeom>
                    <a:noFill/>
                    <a:ln>
                      <a:noFill/>
                    </a:ln>
                  </pic:spPr>
                </pic:pic>
              </a:graphicData>
            </a:graphic>
          </wp:inline>
        </w:drawing>
      </w:r>
    </w:p>
    <w:p>
      <w:pPr>
        <w:pStyle w:val="2"/>
        <w:ind w:firstLine="0" w:firstLineChars="0"/>
        <w:jc w:val="center"/>
        <w:rPr>
          <w:rFonts w:hint="eastAsia"/>
          <w:sz w:val="28"/>
          <w:szCs w:val="28"/>
        </w:rPr>
      </w:pPr>
      <w:r>
        <w:rPr>
          <w:rFonts w:hint="eastAsia" w:ascii="仿宋" w:hAnsi="仿宋" w:eastAsia="仿宋" w:cs="仿宋"/>
          <w:kern w:val="2"/>
          <w:sz w:val="28"/>
          <w:szCs w:val="28"/>
          <w:lang w:val="en-US" w:eastAsia="zh-CN" w:bidi="ar-SA"/>
        </w:rPr>
        <w:t>铰链锁定时限位</w:t>
      </w:r>
      <w:r>
        <w:rPr>
          <w:rFonts w:hint="eastAsia"/>
          <w:sz w:val="28"/>
          <w:szCs w:val="28"/>
        </w:rPr>
        <w:t xml:space="preserve">                  </w:t>
      </w:r>
      <w:r>
        <w:rPr>
          <w:rFonts w:hint="eastAsia" w:ascii="仿宋" w:hAnsi="仿宋" w:eastAsia="仿宋" w:cs="仿宋"/>
          <w:kern w:val="2"/>
          <w:sz w:val="28"/>
          <w:szCs w:val="28"/>
          <w:lang w:val="en-US" w:eastAsia="zh-CN" w:bidi="ar-SA"/>
        </w:rPr>
        <w:t xml:space="preserve"> 铰链展开时限位</w:t>
      </w:r>
    </w:p>
    <w:p>
      <w:pPr>
        <w:snapToGrid w:val="0"/>
        <w:spacing w:line="560" w:lineRule="exact"/>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帆板结展开到位后采用微动开关给出信号。下图所示为根部展开铰链示意图。</w:t>
      </w:r>
    </w:p>
    <w:p>
      <w:pPr>
        <w:pStyle w:val="2"/>
        <w:ind w:firstLine="0" w:firstLineChars="0"/>
        <w:jc w:val="center"/>
        <w:rPr>
          <w:rFonts w:hint="eastAsia"/>
        </w:rPr>
      </w:pPr>
      <w:r>
        <w:drawing>
          <wp:inline distT="0" distB="0" distL="114300" distR="114300">
            <wp:extent cx="5083810" cy="1398905"/>
            <wp:effectExtent l="0" t="0" r="2540" b="1079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rcRect l="21826" t="36514" r="15790" b="32845"/>
                    <a:stretch>
                      <a:fillRect/>
                    </a:stretch>
                  </pic:blipFill>
                  <pic:spPr>
                    <a:xfrm>
                      <a:off x="0" y="0"/>
                      <a:ext cx="5083810" cy="1398905"/>
                    </a:xfrm>
                    <a:prstGeom prst="rect">
                      <a:avLst/>
                    </a:prstGeom>
                    <a:noFill/>
                    <a:ln>
                      <a:noFill/>
                    </a:ln>
                  </pic:spPr>
                </pic:pic>
              </a:graphicData>
            </a:graphic>
          </wp:inline>
        </w:drawing>
      </w:r>
    </w:p>
    <w:p>
      <w:pPr>
        <w:pStyle w:val="2"/>
        <w:ind w:firstLine="0" w:firstLineChars="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根部铰链示意图</w:t>
      </w:r>
    </w:p>
    <w:p>
      <w:pPr>
        <w:pStyle w:val="15"/>
        <w:spacing w:line="360" w:lineRule="auto"/>
        <w:ind w:firstLine="0" w:firstLineChars="0"/>
        <w:jc w:val="center"/>
        <w:rPr>
          <w:rFonts w:hint="eastAsia" w:ascii="Times New Roman" w:hAnsi="Times New Roman"/>
          <w:sz w:val="28"/>
          <w:szCs w:val="28"/>
        </w:rPr>
      </w:pPr>
    </w:p>
    <w:p>
      <w:pPr>
        <w:pStyle w:val="2"/>
        <w:ind w:firstLine="0" w:firstLineChars="0"/>
        <w:jc w:val="center"/>
        <w:rPr>
          <w:rFonts w:hint="eastAsia"/>
          <w:sz w:val="28"/>
          <w:szCs w:val="28"/>
        </w:rPr>
      </w:pPr>
      <w:r>
        <w:rPr>
          <w:sz w:val="28"/>
          <w:szCs w:val="28"/>
        </w:rPr>
        <w:drawing>
          <wp:inline distT="0" distB="0" distL="114300" distR="114300">
            <wp:extent cx="2428240" cy="1080135"/>
            <wp:effectExtent l="0" t="0" r="10160"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rcRect l="29025" t="33411" r="15170" b="22430"/>
                    <a:stretch>
                      <a:fillRect/>
                    </a:stretch>
                  </pic:blipFill>
                  <pic:spPr>
                    <a:xfrm>
                      <a:off x="0" y="0"/>
                      <a:ext cx="2428240" cy="1080135"/>
                    </a:xfrm>
                    <a:prstGeom prst="rect">
                      <a:avLst/>
                    </a:prstGeom>
                    <a:noFill/>
                    <a:ln>
                      <a:noFill/>
                    </a:ln>
                  </pic:spPr>
                </pic:pic>
              </a:graphicData>
            </a:graphic>
          </wp:inline>
        </w:drawing>
      </w:r>
      <w:r>
        <w:rPr>
          <w:sz w:val="28"/>
          <w:szCs w:val="28"/>
        </w:rPr>
        <w:drawing>
          <wp:inline distT="0" distB="0" distL="114300" distR="114300">
            <wp:extent cx="2715895" cy="1078865"/>
            <wp:effectExtent l="0" t="0" r="8255"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rcRect l="22334" t="33646" r="16621" b="23131"/>
                    <a:stretch>
                      <a:fillRect/>
                    </a:stretch>
                  </pic:blipFill>
                  <pic:spPr>
                    <a:xfrm>
                      <a:off x="0" y="0"/>
                      <a:ext cx="2715895" cy="1078865"/>
                    </a:xfrm>
                    <a:prstGeom prst="rect">
                      <a:avLst/>
                    </a:prstGeom>
                    <a:noFill/>
                    <a:ln>
                      <a:noFill/>
                    </a:ln>
                  </pic:spPr>
                </pic:pic>
              </a:graphicData>
            </a:graphic>
          </wp:inline>
        </w:drawing>
      </w:r>
    </w:p>
    <w:p>
      <w:pPr>
        <w:pStyle w:val="2"/>
        <w:ind w:firstLine="0" w:firstLineChars="0"/>
        <w:jc w:val="center"/>
        <w:rPr>
          <w:rFonts w:hint="eastAsia"/>
          <w:sz w:val="28"/>
          <w:szCs w:val="28"/>
        </w:rPr>
      </w:pPr>
      <w:r>
        <w:rPr>
          <w:rFonts w:hint="eastAsia" w:ascii="仿宋" w:hAnsi="仿宋" w:eastAsia="仿宋" w:cs="仿宋"/>
          <w:kern w:val="2"/>
          <w:sz w:val="28"/>
          <w:szCs w:val="28"/>
          <w:lang w:val="en-US" w:eastAsia="zh-CN" w:bidi="ar-SA"/>
        </w:rPr>
        <w:t xml:space="preserve">压紧监测状态   </w:t>
      </w:r>
      <w:r>
        <w:rPr>
          <w:rFonts w:hint="eastAsia"/>
          <w:sz w:val="28"/>
          <w:szCs w:val="28"/>
        </w:rPr>
        <w:t xml:space="preserve">                   </w:t>
      </w:r>
      <w:r>
        <w:rPr>
          <w:rFonts w:hint="eastAsia" w:ascii="仿宋" w:hAnsi="仿宋" w:eastAsia="仿宋" w:cs="仿宋"/>
          <w:kern w:val="2"/>
          <w:sz w:val="28"/>
          <w:szCs w:val="28"/>
          <w:lang w:val="en-US" w:eastAsia="zh-CN" w:bidi="ar-SA"/>
        </w:rPr>
        <w:t>弹开锁定状态</w:t>
      </w:r>
    </w:p>
    <w:p>
      <w:pPr>
        <w:pStyle w:val="2"/>
        <w:ind w:firstLine="0" w:firstLineChars="0"/>
        <w:jc w:val="center"/>
        <w:rPr>
          <w:rFonts w:hint="eastAsia"/>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解锁机构可采用记忆合金拔销器进行锁定与解锁，未上电时利用拔销器内的复位弹簧进行断电销定；上电后通记忆合金丝进行加热，达到相变温度后记忆合金丝收缩，克服复位弹簧力后完成解锁。</w:t>
      </w:r>
    </w:p>
    <w:p>
      <w:pPr>
        <w:pStyle w:val="2"/>
        <w:ind w:firstLine="0" w:firstLineChars="0"/>
        <w:jc w:val="center"/>
        <w:rPr>
          <w:rFonts w:hint="eastAsia"/>
        </w:rPr>
      </w:pPr>
      <w:r>
        <w:rPr>
          <w:rFonts w:hint="eastAsia"/>
        </w:rPr>
        <w:drawing>
          <wp:inline distT="0" distB="0" distL="114300" distR="114300">
            <wp:extent cx="3237230" cy="1316990"/>
            <wp:effectExtent l="0" t="0" r="1270" b="165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rcRect l="17865" t="41237" r="26402" b="18138"/>
                    <a:stretch>
                      <a:fillRect/>
                    </a:stretch>
                  </pic:blipFill>
                  <pic:spPr>
                    <a:xfrm>
                      <a:off x="0" y="0"/>
                      <a:ext cx="3237230" cy="1316990"/>
                    </a:xfrm>
                    <a:prstGeom prst="rect">
                      <a:avLst/>
                    </a:prstGeom>
                    <a:noFill/>
                    <a:ln>
                      <a:noFill/>
                    </a:ln>
                  </pic:spPr>
                </pic:pic>
              </a:graphicData>
            </a:graphic>
          </wp:inline>
        </w:drawing>
      </w:r>
    </w:p>
    <w:p>
      <w:pPr>
        <w:pStyle w:val="2"/>
        <w:ind w:firstLine="518"/>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记忆合金拔销器示意图</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sz w:val="30"/>
          <w:szCs w:val="30"/>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bookmarkStart w:id="0" w:name="_Toc535502539"/>
      <w:bookmarkStart w:id="1" w:name="_Toc520918522"/>
      <w:bookmarkStart w:id="2" w:name="_Toc44765701"/>
      <w:r>
        <w:rPr>
          <w:rFonts w:hint="eastAsia" w:ascii="仿宋" w:hAnsi="仿宋" w:eastAsia="仿宋" w:cs="仿宋"/>
          <w:sz w:val="30"/>
          <w:szCs w:val="30"/>
          <w:lang w:val="en-US" w:eastAsia="zh-CN"/>
        </w:rPr>
        <w:t>2、能源动力与材料类-卫星电源系统研制</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（1）卫星电源系统介绍</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卫星电源分系统主要负责卫星在测试与在轨运行期间为卫星平台和有效载荷提供不间断、可靠的能源输出。</w:t>
      </w:r>
      <w:bookmarkEnd w:id="0"/>
      <w:bookmarkEnd w:id="1"/>
      <w:r>
        <w:rPr>
          <w:rFonts w:hint="eastAsia" w:ascii="仿宋" w:hAnsi="仿宋" w:eastAsia="仿宋" w:cs="仿宋"/>
          <w:sz w:val="30"/>
          <w:szCs w:val="30"/>
          <w:highlight w:val="none"/>
          <w:lang w:val="en-US" w:eastAsia="zh-CN"/>
        </w:rPr>
        <w:t>其主要功能包括：在卫星综合测试和各种试验期间，为星上设备提供稳定的一次电源和二次电源电压；卫星在轨运行期间，电源输出功率满足要求，保证星上仪器设备的正常工作；在轨运行的光照期间，利用太阳电池阵发电，对星上设备供电和蓄电池充电；在轨运行的阴影期间，蓄电池释放电能，对星上设备供电；电源控制器实施对电源的管理和控制，包括母线电压保护、二次电压保护、蓄电池充放电管理等；为星上单机</w:t>
      </w:r>
      <w:r>
        <w:rPr>
          <w:rFonts w:hint="eastAsia" w:ascii="仿宋" w:hAnsi="仿宋" w:eastAsia="仿宋" w:cs="仿宋"/>
          <w:sz w:val="30"/>
          <w:szCs w:val="30"/>
          <w:highlight w:val="none"/>
          <w:lang w:val="en-US" w:eastAsia="zh-CN"/>
        </w:rPr>
        <w:t>提供配电功能；</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outlineLvl w:val="1"/>
        <w:rPr>
          <w:rFonts w:hint="eastAsia" w:ascii="仿宋" w:hAnsi="仿宋" w:eastAsia="仿宋" w:cs="仿宋"/>
          <w:sz w:val="30"/>
          <w:szCs w:val="30"/>
          <w:highlight w:val="none"/>
          <w:lang w:val="en-US" w:eastAsia="zh-CN"/>
        </w:rPr>
      </w:pPr>
      <w:bookmarkStart w:id="3" w:name="_Toc48142334"/>
      <w:bookmarkStart w:id="4" w:name="_Toc520918523"/>
      <w:bookmarkStart w:id="5" w:name="_Toc535502540"/>
      <w:r>
        <w:rPr>
          <w:rFonts w:hint="eastAsia" w:ascii="仿宋" w:hAnsi="仿宋" w:eastAsia="仿宋" w:cs="仿宋"/>
          <w:sz w:val="30"/>
          <w:szCs w:val="30"/>
          <w:highlight w:val="none"/>
          <w:lang w:val="en-US" w:eastAsia="zh-CN"/>
        </w:rPr>
        <w:t>（2）</w:t>
      </w:r>
      <w:bookmarkEnd w:id="3"/>
      <w:bookmarkEnd w:id="4"/>
      <w:bookmarkEnd w:id="5"/>
      <w:r>
        <w:rPr>
          <w:rFonts w:hint="eastAsia" w:ascii="仿宋" w:hAnsi="仿宋" w:eastAsia="仿宋" w:cs="仿宋"/>
          <w:sz w:val="30"/>
          <w:szCs w:val="30"/>
          <w:highlight w:val="none"/>
          <w:lang w:val="en-US" w:eastAsia="zh-CN"/>
        </w:rPr>
        <w:t>卫星电源系统研制要求</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电源系统总质量小于15kg（含太阳电池阵列、电源控制器和蓄电池组），其中：电源控制器包络空间小于0.6U，质量不大于0.6kg；蓄电池组质量不大于8kg；</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太阳电池阵列：四块展开太阳翼，质量不大于2.5kg。设计寿命末期太阳电池阵输出电压为20W（二极管压降之后），输出电流为1.14A，工作电压为17.6V，太阳直射条件下输出功率约为35W；</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蓄电池组：工作电压3V～4.2V，额定容量3.2Ah，具备过充、过放、过流和短路保护，工作温度0℃～45℃。</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母线电压：采用不调节母线控制方案，母线电压变化范围为12V~16.8V。</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outlineLvl w:val="1"/>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（3）卫星电源系统设计方案提示</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电源分系统由太阳电池阵、蓄电池组、电源控制器等组成。卫星电源分系统为卫星平台和有效载荷供电，以满足卫星在整个寿命期间、各种工作模式下的功率需求。</w:t>
      </w:r>
    </w:p>
    <w:bookmarkEnd w:id="2"/>
    <w:p>
      <w:pPr>
        <w:snapToGrid w:val="0"/>
        <w:spacing w:line="360" w:lineRule="auto"/>
        <w:ind w:left="0" w:leftChars="0" w:firstLine="600" w:firstLineChars="200"/>
        <w:rPr>
          <w:rFonts w:hint="eastAsia" w:ascii="仿宋" w:hAnsi="仿宋" w:eastAsia="仿宋" w:cs="仿宋"/>
          <w:sz w:val="30"/>
          <w:szCs w:val="30"/>
          <w:highlight w:val="none"/>
          <w:lang w:eastAsia="zh-CN"/>
        </w:rPr>
      </w:pPr>
      <w:r>
        <w:rPr>
          <w:rFonts w:hint="eastAsia" w:ascii="仿宋" w:hAnsi="仿宋" w:eastAsia="仿宋" w:cs="仿宋"/>
          <w:sz w:val="30"/>
          <w:szCs w:val="30"/>
          <w:highlight w:val="none"/>
          <w:lang w:val="en-US" w:eastAsia="zh-CN"/>
        </w:rPr>
        <w:t>太阳电池阵设计提示。</w:t>
      </w:r>
      <w:r>
        <w:rPr>
          <w:rFonts w:hint="eastAsia" w:ascii="仿宋" w:hAnsi="仿宋" w:eastAsia="仿宋" w:cs="仿宋"/>
          <w:sz w:val="30"/>
          <w:szCs w:val="30"/>
          <w:highlight w:val="none"/>
        </w:rPr>
        <w:t>电池板采用4块独立单晶电池组件组成，跟踪装置采用双轴二维跟踪系统，水平270±5°，俯仰75±5°，精度±0.5°</w:t>
      </w:r>
      <w:r>
        <w:rPr>
          <w:rFonts w:hint="eastAsia" w:ascii="仿宋" w:hAnsi="仿宋" w:eastAsia="仿宋" w:cs="仿宋"/>
          <w:sz w:val="30"/>
          <w:szCs w:val="30"/>
          <w:highlight w:val="none"/>
          <w:lang w:val="en-US" w:eastAsia="zh-CN"/>
        </w:rPr>
        <w:t>,</w:t>
      </w:r>
      <w:r>
        <w:rPr>
          <w:rFonts w:hint="eastAsia" w:ascii="仿宋" w:hAnsi="仿宋" w:eastAsia="仿宋" w:cs="仿宋"/>
          <w:sz w:val="30"/>
          <w:szCs w:val="30"/>
          <w:highlight w:val="none"/>
        </w:rPr>
        <w:t>DC24V直流同步电机驱动，额定转速10rpm，使光伏组件正对光源输出最大功率</w:t>
      </w:r>
      <w:r>
        <w:rPr>
          <w:rFonts w:hint="eastAsia" w:ascii="仿宋" w:hAnsi="仿宋" w:eastAsia="仿宋" w:cs="仿宋"/>
          <w:sz w:val="30"/>
          <w:szCs w:val="30"/>
          <w:highlight w:val="none"/>
          <w:lang w:eastAsia="zh-CN"/>
        </w:rPr>
        <w:t>。</w:t>
      </w:r>
    </w:p>
    <w:p>
      <w:pPr>
        <w:snapToGrid w:val="0"/>
        <w:spacing w:line="360" w:lineRule="auto"/>
        <w:ind w:left="0" w:leftChars="0" w:firstLine="600" w:firstLineChars="200"/>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rPr>
        <w:t>蓄电池组</w:t>
      </w:r>
      <w:r>
        <w:rPr>
          <w:rFonts w:hint="eastAsia" w:ascii="仿宋" w:hAnsi="仿宋" w:eastAsia="仿宋" w:cs="仿宋"/>
          <w:sz w:val="30"/>
          <w:szCs w:val="30"/>
          <w:highlight w:val="none"/>
          <w:lang w:val="en-US" w:eastAsia="zh-CN"/>
        </w:rPr>
        <w:t>设计提示。可采用</w:t>
      </w:r>
      <w:r>
        <w:rPr>
          <w:rFonts w:hint="eastAsia" w:ascii="仿宋" w:hAnsi="仿宋" w:eastAsia="仿宋" w:cs="仿宋"/>
          <w:sz w:val="30"/>
          <w:szCs w:val="30"/>
          <w:highlight w:val="none"/>
        </w:rPr>
        <w:t>铅酸电池12V/12AH ×2（块）。电池充放电控制器：DC12V/24V自动切换、额定电流DC10A、PWM(脉冲宽度调制)方式充电；具有充放电指示、电池状态指示、温度补偿等功能；具有蓄电池反接、夜间防反冲、防雷、光伏限流、过充、过放、负载过载、短路等保护功能；具有光控/时控输出模式控制功能。离网逆变器：输入电压DC12V；输出AC220V±10%、50HZ、300VA、纯正弦波；输入输出采用高频变压器隔离；具有过欠压关断、过载、过温等保护功能。</w:t>
      </w:r>
    </w:p>
    <w:p>
      <w:pPr>
        <w:keepNext w:val="0"/>
        <w:keepLines w:val="0"/>
        <w:widowControl/>
        <w:numPr>
          <w:ilvl w:val="0"/>
          <w:numId w:val="0"/>
        </w:numPr>
        <w:suppressLineNumbers w:val="0"/>
        <w:snapToGrid w:val="0"/>
        <w:spacing w:before="0" w:beforeAutospacing="0" w:after="0" w:afterAutospacing="0" w:line="360" w:lineRule="auto"/>
        <w:ind w:left="0" w:leftChars="0" w:right="0" w:firstLine="600" w:firstLineChars="200"/>
        <w:jc w:val="left"/>
        <w:rPr>
          <w:rFonts w:hint="default" w:ascii="仿宋" w:hAnsi="仿宋" w:eastAsia="仿宋" w:cs="仿宋"/>
          <w:sz w:val="30"/>
          <w:szCs w:val="30"/>
          <w:highlight w:val="none"/>
          <w:lang w:val="en-US" w:eastAsia="zh-CN"/>
        </w:rPr>
      </w:pPr>
      <w:bookmarkStart w:id="6" w:name="_Toc44765703"/>
      <w:r>
        <w:rPr>
          <w:rFonts w:hint="eastAsia" w:ascii="仿宋" w:hAnsi="仿宋" w:eastAsia="仿宋" w:cs="仿宋"/>
          <w:sz w:val="30"/>
          <w:szCs w:val="30"/>
          <w:highlight w:val="none"/>
          <w:lang w:val="en-US" w:eastAsia="zh-CN"/>
        </w:rPr>
        <w:t>电源控制器设计</w:t>
      </w:r>
      <w:bookmarkEnd w:id="6"/>
      <w:r>
        <w:rPr>
          <w:rFonts w:hint="eastAsia" w:ascii="仿宋" w:hAnsi="仿宋" w:eastAsia="仿宋" w:cs="仿宋"/>
          <w:sz w:val="30"/>
          <w:szCs w:val="30"/>
          <w:highlight w:val="none"/>
          <w:lang w:val="en-US" w:eastAsia="zh-CN"/>
        </w:rPr>
        <w:t>提示。</w:t>
      </w:r>
      <w:r>
        <w:rPr>
          <w:rFonts w:hint="eastAsia" w:ascii="仿宋" w:hAnsi="仿宋" w:eastAsia="仿宋" w:cs="仿宋"/>
          <w:kern w:val="2"/>
          <w:sz w:val="30"/>
          <w:szCs w:val="30"/>
          <w:highlight w:val="none"/>
          <w:lang w:val="en-US" w:eastAsia="zh-CN" w:bidi="ar"/>
        </w:rPr>
        <w:t>电源控制单元主要由断路器、+24V开关电源、AC220V电源插座、指示灯、接线端子DT1和DT2等组成。</w:t>
      </w:r>
      <w:r>
        <w:rPr>
          <w:rFonts w:hint="eastAsia" w:ascii="仿宋" w:hAnsi="仿宋" w:eastAsia="仿宋" w:cs="仿宋"/>
          <w:kern w:val="0"/>
          <w:sz w:val="30"/>
          <w:szCs w:val="30"/>
          <w:highlight w:val="none"/>
          <w:lang w:val="en-US" w:eastAsia="zh-CN" w:bidi="ar"/>
        </w:rPr>
        <w:t>输出显示单元主要由直流电流表、直流电压表、接线端子DT3和DT4等组成。供电控制单元主要由选择开关、急停按钮、带灯按钮、接线端子DT5、DT6和DT7等组成。</w:t>
      </w:r>
      <w:r>
        <w:rPr>
          <w:rFonts w:hint="default" w:ascii="仿宋" w:hAnsi="仿宋" w:eastAsia="仿宋" w:cs="仿宋"/>
          <w:sz w:val="30"/>
          <w:szCs w:val="30"/>
          <w:highlight w:val="none"/>
          <w:lang w:val="en-US" w:eastAsia="zh-CN"/>
        </w:rPr>
        <w:t>原理结构如下图所示。</w:t>
      </w:r>
    </w:p>
    <w:p>
      <w:pPr>
        <w:pStyle w:val="2"/>
        <w:rPr>
          <w:rFonts w:hint="eastAsia"/>
          <w:sz w:val="30"/>
          <w:szCs w:val="30"/>
          <w:highlight w:val="none"/>
        </w:rPr>
      </w:pPr>
      <w:r>
        <w:rPr>
          <w:sz w:val="30"/>
          <w:szCs w:val="30"/>
          <w:highlight w:val="none"/>
        </w:rPr>
        <w:drawing>
          <wp:inline distT="0" distB="0" distL="114300" distR="114300">
            <wp:extent cx="5143500" cy="274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143500" cy="2743200"/>
                    </a:xfrm>
                    <a:prstGeom prst="rect">
                      <a:avLst/>
                    </a:prstGeom>
                    <a:noFill/>
                    <a:ln>
                      <a:noFill/>
                    </a:ln>
                  </pic:spPr>
                </pic:pic>
              </a:graphicData>
            </a:graphic>
          </wp:inline>
        </w:drawing>
      </w:r>
    </w:p>
    <w:p>
      <w:pPr>
        <w:pStyle w:val="2"/>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另外，可增加</w:t>
      </w:r>
      <w:r>
        <w:rPr>
          <w:rFonts w:hint="eastAsia" w:ascii="仿宋" w:hAnsi="仿宋" w:eastAsia="仿宋" w:cs="仿宋"/>
          <w:sz w:val="30"/>
          <w:szCs w:val="30"/>
          <w:highlight w:val="none"/>
        </w:rPr>
        <w:t>模拟光源与跟踪系统</w:t>
      </w:r>
      <w:r>
        <w:rPr>
          <w:rFonts w:hint="eastAsia" w:ascii="仿宋" w:hAnsi="仿宋" w:eastAsia="仿宋" w:cs="仿宋"/>
          <w:sz w:val="30"/>
          <w:szCs w:val="30"/>
          <w:highlight w:val="none"/>
          <w:lang w:val="en-US" w:eastAsia="zh-CN"/>
        </w:rPr>
        <w:t>用于</w:t>
      </w:r>
      <w:r>
        <w:rPr>
          <w:rFonts w:hint="eastAsia" w:ascii="仿宋" w:hAnsi="仿宋" w:eastAsia="仿宋" w:cs="仿宋"/>
          <w:sz w:val="30"/>
          <w:szCs w:val="30"/>
          <w:highlight w:val="none"/>
        </w:rPr>
        <w:t>模拟太阳从升起到日落过程</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运动角度110±5°</w:t>
      </w:r>
      <w:r>
        <w:rPr>
          <w:rFonts w:hint="eastAsia" w:ascii="仿宋" w:hAnsi="仿宋" w:eastAsia="仿宋" w:cs="仿宋"/>
          <w:sz w:val="30"/>
          <w:szCs w:val="30"/>
          <w:highlight w:val="none"/>
          <w:lang w:val="en-US" w:eastAsia="zh-CN"/>
        </w:rPr>
        <w:t>,进而对卫星电源系统进行模拟验证。</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3、电子信息类-卫星地面接收组件研制</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卫星遥测是指卫星上各种被测信息经过传感器变换、采集编排和副载波调制等处理，再通过无线信道送达地面接收站，提供给航天工程技术人员和航天器用户使用。本题目要求参赛选手能够研制地面装置，对过顶的在轨卫星进行信号接收。该卫星进入稳定运行时，X测控为主，UV测控为辅助。UV测控采用业余无线电体制，该卫星测控系统下行参数如下。</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UHF：</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频率范围：437.592MHz-437.608MHz；</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调制方式：BPSK；</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送码速率：1200，2400，4800，9600bits/s；</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协议：AX.25。</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VHF：</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频率范围：145.972MHz-145.988MHz；</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调制方式：AFSK，1200Hz/2200Hz(Bell202)；</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接收码速率：1200bits/s；</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left="0" w:leftChars="0" w:firstLine="40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协议：AX.25。</w:t>
      </w:r>
    </w:p>
    <w:p>
      <w:pPr>
        <w:snapToGrid w:val="0"/>
        <w:spacing w:line="560" w:lineRule="exact"/>
        <w:ind w:firstLine="600" w:firstLineChars="200"/>
        <w:jc w:val="left"/>
        <w:outlineLvl w:val="1"/>
      </w:pPr>
      <w:r>
        <w:rPr>
          <w:rFonts w:hint="eastAsia" w:ascii="仿宋" w:hAnsi="仿宋" w:eastAsia="仿宋" w:cs="仿宋"/>
          <w:sz w:val="30"/>
          <w:szCs w:val="30"/>
        </w:rPr>
        <w:t>（二）卫星应用竞赛</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卫星应用赛项正式比赛要求如下：</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①抽签。各队参赛选手根据抽签得到竞赛试题。</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②比赛。各队参赛选手根据抽签结果，获取相应场地编号、控制点数据及待放样点坐标、待放样线路的要素点坐标、待放样CAD图纸文件，开始放样比赛。</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③放样并标记。放样完成放样点的平面定位工作、放样线的线路定位工作、CAD图纸中建筑轮廓放样工作，用记号笔在木桩上做好各放样点的地面标记；放样线、CAD图纸中的放样建筑轮廓，标记关键要素点</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④精度检核。参赛队放样结束后，可向裁判申请检核专用设备进行精度检核，检核点由裁判指定。记录观测值并计算较差，填写相关检查资料。</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⑤检核后，参赛队对测设情况进行精度评判并决定是否向裁判提交成果，若主动提交成果，裁判终止计时。</w:t>
      </w:r>
    </w:p>
    <w:p>
      <w:pPr>
        <w:snapToGrid w:val="0"/>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⑥上交成果：工程作业原始文件；放样点检核实测值及较差值。</w:t>
      </w:r>
    </w:p>
    <w:p>
      <w:pPr>
        <w:spacing w:line="560" w:lineRule="exact"/>
        <w:ind w:firstLine="600" w:firstLineChars="200"/>
        <w:jc w:val="left"/>
        <w:outlineLvl w:val="0"/>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七、技术平台</w:t>
      </w:r>
    </w:p>
    <w:p>
      <w:pPr>
        <w:spacing w:line="560" w:lineRule="exact"/>
        <w:jc w:val="left"/>
        <w:rPr>
          <w:rFonts w:ascii="仿宋" w:hAnsi="仿宋" w:eastAsia="仿宋" w:cs="仿宋"/>
          <w:sz w:val="30"/>
          <w:szCs w:val="30"/>
        </w:rPr>
      </w:pPr>
      <w:r>
        <w:rPr>
          <w:rFonts w:hint="eastAsia" w:ascii="仿宋" w:hAnsi="仿宋" w:eastAsia="仿宋" w:cs="仿宋"/>
          <w:sz w:val="30"/>
          <w:szCs w:val="30"/>
        </w:rPr>
        <w:t xml:space="preserve">    赛项内容在研制过程中</w:t>
      </w:r>
      <w:r>
        <w:rPr>
          <w:rFonts w:hint="eastAsia" w:ascii="仿宋" w:hAnsi="仿宋" w:eastAsia="仿宋" w:cs="仿宋"/>
          <w:sz w:val="30"/>
          <w:szCs w:val="30"/>
          <w:lang w:val="en-US" w:eastAsia="zh-CN"/>
        </w:rPr>
        <w:t>可按需采用</w:t>
      </w:r>
      <w:r>
        <w:rPr>
          <w:rFonts w:hint="eastAsia" w:ascii="仿宋" w:hAnsi="仿宋" w:eastAsia="仿宋" w:cs="仿宋"/>
          <w:sz w:val="30"/>
          <w:szCs w:val="30"/>
        </w:rPr>
        <w:t>如下软硬件设计、开发、生产及分析环境，但不局限于以下内容。</w:t>
      </w:r>
    </w:p>
    <w:p>
      <w:pPr>
        <w:spacing w:line="560" w:lineRule="exact"/>
        <w:ind w:firstLine="600" w:firstLineChars="200"/>
        <w:jc w:val="left"/>
        <w:outlineLvl w:val="1"/>
        <w:rPr>
          <w:rFonts w:ascii="楷体" w:hAnsi="楷体" w:eastAsia="楷体" w:cs="楷体"/>
          <w:sz w:val="30"/>
          <w:szCs w:val="30"/>
        </w:rPr>
      </w:pPr>
      <w:r>
        <w:rPr>
          <w:rFonts w:hint="eastAsia" w:ascii="楷体" w:hAnsi="楷体" w:eastAsia="楷体" w:cs="楷体"/>
          <w:sz w:val="30"/>
          <w:szCs w:val="30"/>
        </w:rPr>
        <w:t>（一）软件设计及开发工具环境</w:t>
      </w:r>
    </w:p>
    <w:tbl>
      <w:tblPr>
        <w:tblStyle w:val="8"/>
        <w:tblW w:w="8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619"/>
        <w:gridCol w:w="211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asciiTheme="minorEastAsia" w:hAnsiTheme="minorEastAsia"/>
                <w:b/>
                <w:sz w:val="24"/>
              </w:rPr>
            </w:pPr>
            <w:r>
              <w:rPr>
                <w:rFonts w:hint="eastAsia" w:asciiTheme="minorEastAsia" w:hAnsiTheme="minorEastAsia"/>
                <w:b/>
                <w:sz w:val="24"/>
              </w:rPr>
              <w:t>序号</w:t>
            </w:r>
          </w:p>
        </w:tc>
        <w:tc>
          <w:tcPr>
            <w:tcW w:w="2619" w:type="dxa"/>
            <w:vAlign w:val="center"/>
          </w:tcPr>
          <w:p>
            <w:pPr>
              <w:spacing w:line="360" w:lineRule="auto"/>
              <w:jc w:val="center"/>
              <w:rPr>
                <w:rFonts w:asciiTheme="minorEastAsia" w:hAnsiTheme="minorEastAsia"/>
                <w:b/>
                <w:sz w:val="24"/>
              </w:rPr>
            </w:pPr>
            <w:r>
              <w:rPr>
                <w:rFonts w:hint="eastAsia" w:asciiTheme="minorEastAsia" w:hAnsiTheme="minorEastAsia"/>
                <w:b/>
                <w:sz w:val="24"/>
              </w:rPr>
              <w:t>软件名称</w:t>
            </w:r>
          </w:p>
        </w:tc>
        <w:tc>
          <w:tcPr>
            <w:tcW w:w="2112" w:type="dxa"/>
            <w:tcBorders>
              <w:top w:val="single" w:color="000000" w:sz="8" w:space="0"/>
              <w:left w:val="single" w:color="000000" w:sz="8" w:space="0"/>
              <w:bottom w:val="single" w:color="000000" w:sz="8" w:space="0"/>
            </w:tcBorders>
            <w:shd w:val="clear" w:color="auto" w:fill="FFFFFF"/>
            <w:vAlign w:val="center"/>
          </w:tcPr>
          <w:p>
            <w:pPr>
              <w:spacing w:line="360" w:lineRule="auto"/>
              <w:jc w:val="center"/>
              <w:rPr>
                <w:rFonts w:asciiTheme="minorEastAsia" w:hAnsiTheme="minorEastAsia"/>
                <w:b/>
                <w:sz w:val="24"/>
              </w:rPr>
            </w:pPr>
            <w:r>
              <w:rPr>
                <w:rFonts w:hint="eastAsia" w:asciiTheme="minorEastAsia" w:hAnsiTheme="minorEastAsia"/>
                <w:b/>
                <w:sz w:val="24"/>
              </w:rPr>
              <w:t>描述</w:t>
            </w:r>
          </w:p>
        </w:tc>
        <w:tc>
          <w:tcPr>
            <w:tcW w:w="2842" w:type="dxa"/>
            <w:tcBorders>
              <w:top w:val="single" w:color="000000" w:sz="8" w:space="0"/>
              <w:left w:val="single" w:color="auto" w:sz="4" w:space="0"/>
              <w:bottom w:val="single" w:color="000000" w:sz="8" w:space="0"/>
            </w:tcBorders>
            <w:shd w:val="clear" w:color="auto" w:fill="FFFFFF"/>
            <w:vAlign w:val="center"/>
          </w:tcPr>
          <w:p>
            <w:pPr>
              <w:spacing w:line="360" w:lineRule="auto"/>
              <w:jc w:val="left"/>
              <w:rPr>
                <w:rFonts w:asciiTheme="minorEastAsia" w:hAnsiTheme="minorEastAsia"/>
                <w:b/>
                <w:sz w:val="24"/>
              </w:rPr>
            </w:pPr>
            <w:r>
              <w:rPr>
                <w:rFonts w:hint="eastAsia" w:asciiTheme="minorEastAsia" w:hAnsiTheme="minorEastAsia"/>
                <w:b/>
                <w:sz w:val="24"/>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hint="eastAsia" w:asciiTheme="minorEastAsia" w:hAnsiTheme="minorEastAsia"/>
                <w:b/>
                <w:sz w:val="24"/>
              </w:rPr>
              <w:t>1</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SpaceOS-天卓操作系统</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空间嵌入式实时操作系统</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ascii="仿宋" w:hAnsi="仿宋" w:eastAsia="仿宋" w:cs="仿宋"/>
                <w:sz w:val="24"/>
              </w:rPr>
            </w:pPr>
            <w:r>
              <w:rPr>
                <w:rFonts w:hint="eastAsia" w:ascii="仿宋" w:hAnsi="仿宋" w:eastAsia="仿宋" w:cs="仿宋"/>
                <w:sz w:val="24"/>
              </w:rPr>
              <w:t>主要应用于载人航天、通信卫星、北斗导航、深空探测等任务。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2</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鸿蒙操作系统</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分布式操作系统。</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ascii="仿宋" w:hAnsi="仿宋" w:eastAsia="仿宋" w:cs="仿宋"/>
                <w:sz w:val="24"/>
              </w:rPr>
            </w:pPr>
            <w:r>
              <w:rPr>
                <w:rFonts w:hint="eastAsia" w:ascii="仿宋" w:hAnsi="仿宋" w:eastAsia="仿宋" w:cs="仿宋"/>
                <w:sz w:val="24"/>
              </w:rPr>
              <w:t>主要面向航天全场景应用领域。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3</w:t>
            </w:r>
          </w:p>
        </w:tc>
        <w:tc>
          <w:tcPr>
            <w:tcW w:w="2619" w:type="dxa"/>
            <w:vAlign w:val="center"/>
          </w:tcPr>
          <w:p>
            <w:pPr>
              <w:snapToGrid w:val="0"/>
              <w:jc w:val="center"/>
              <w:rPr>
                <w:rFonts w:asciiTheme="minorEastAsia" w:hAnsiTheme="minorEastAsia"/>
                <w:b/>
                <w:sz w:val="24"/>
              </w:rPr>
            </w:pPr>
            <w:r>
              <w:rPr>
                <w:rFonts w:hint="eastAsia" w:ascii="仿宋" w:hAnsi="仿宋" w:eastAsia="仿宋" w:cs="仿宋"/>
                <w:sz w:val="24"/>
              </w:rPr>
              <w:t>Visual Studio</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C/C++集成开发</w:t>
            </w:r>
          </w:p>
          <w:p>
            <w:pPr>
              <w:snapToGrid w:val="0"/>
              <w:jc w:val="center"/>
              <w:rPr>
                <w:rFonts w:asciiTheme="minorEastAsia" w:hAnsiTheme="minorEastAsia"/>
                <w:b/>
                <w:sz w:val="24"/>
              </w:rPr>
            </w:pPr>
            <w:r>
              <w:rPr>
                <w:rFonts w:hint="eastAsia" w:ascii="仿宋" w:hAnsi="仿宋" w:eastAsia="仿宋" w:cs="仿宋"/>
                <w:sz w:val="24"/>
              </w:rPr>
              <w:t>环境</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eastAsia="仿宋" w:asciiTheme="minorEastAsia" w:hAnsiTheme="minorEastAsia"/>
                <w:b/>
                <w:sz w:val="24"/>
                <w:lang w:eastAsia="zh-CN"/>
              </w:rPr>
            </w:pPr>
            <w:r>
              <w:rPr>
                <w:rFonts w:hint="eastAsia" w:ascii="仿宋" w:hAnsi="仿宋" w:eastAsia="仿宋" w:cs="仿宋"/>
                <w:sz w:val="24"/>
              </w:rPr>
              <w:t>适用于地面系统或应用类系统软件、终端软件、嵌入式系统的研制</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4</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ARM</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硬件系统架构</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适用于星载处理系统上的操作系统设计</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5</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FPGA</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ascii="仿宋" w:hAnsi="仿宋" w:eastAsia="仿宋" w:cs="仿宋"/>
                <w:sz w:val="24"/>
              </w:rPr>
              <w:t>ASIC</w:t>
            </w:r>
            <w:r>
              <w:rPr>
                <w:rFonts w:hint="eastAsia" w:ascii="仿宋" w:hAnsi="仿宋" w:eastAsia="仿宋" w:cs="仿宋"/>
                <w:sz w:val="24"/>
              </w:rPr>
              <w:t>领域中的一种半定制电路</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用于星载或地面设备的设计与开发</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6</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IDEA/Eclipse</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JAVA、Python的集成开发环境</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适用于地面系统、应用类系统软件、部分星上软件的研制</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7</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Code Composer Studio</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DSP集成开发环境</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适用于处理器开发、信号处理与分析等</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napToGrid w:val="0"/>
              <w:jc w:val="center"/>
              <w:rPr>
                <w:rFonts w:asciiTheme="minorEastAsia" w:hAnsiTheme="minorEastAsia"/>
                <w:b/>
                <w:sz w:val="24"/>
              </w:rPr>
            </w:pPr>
            <w:r>
              <w:rPr>
                <w:rFonts w:asciiTheme="minorEastAsia" w:hAnsiTheme="minorEastAsia"/>
                <w:b/>
                <w:sz w:val="24"/>
              </w:rPr>
              <w:t>8</w:t>
            </w:r>
          </w:p>
        </w:tc>
        <w:tc>
          <w:tcPr>
            <w:tcW w:w="2619" w:type="dxa"/>
            <w:vAlign w:val="center"/>
          </w:tcPr>
          <w:p>
            <w:pPr>
              <w:snapToGrid w:val="0"/>
              <w:jc w:val="center"/>
              <w:rPr>
                <w:rFonts w:ascii="仿宋" w:hAnsi="仿宋" w:eastAsia="仿宋" w:cs="仿宋"/>
                <w:sz w:val="24"/>
              </w:rPr>
            </w:pPr>
            <w:r>
              <w:rPr>
                <w:rFonts w:hint="eastAsia" w:ascii="仿宋" w:hAnsi="仿宋" w:eastAsia="仿宋" w:cs="仿宋"/>
                <w:sz w:val="24"/>
              </w:rPr>
              <w:t>MATLAB</w:t>
            </w:r>
          </w:p>
        </w:tc>
        <w:tc>
          <w:tcPr>
            <w:tcW w:w="2112"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数据分析、无线通信分析环境</w:t>
            </w:r>
          </w:p>
        </w:tc>
        <w:tc>
          <w:tcPr>
            <w:tcW w:w="2842"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适用于立方星建模、仿真和可视化，以及航天器的动力系统、通信系统、导航系统等分系统或载荷的分析仿真</w:t>
            </w:r>
            <w:r>
              <w:rPr>
                <w:rFonts w:hint="eastAsia" w:ascii="仿宋" w:hAnsi="仿宋" w:eastAsia="仿宋" w:cs="仿宋"/>
                <w:sz w:val="24"/>
                <w:lang w:eastAsia="zh-CN"/>
              </w:rPr>
              <w:t>。</w:t>
            </w:r>
          </w:p>
        </w:tc>
      </w:tr>
    </w:tbl>
    <w:p>
      <w:pPr>
        <w:spacing w:line="560" w:lineRule="exact"/>
        <w:ind w:firstLine="600" w:firstLineChars="200"/>
        <w:jc w:val="left"/>
        <w:outlineLvl w:val="1"/>
        <w:rPr>
          <w:rFonts w:ascii="楷体" w:hAnsi="楷体" w:eastAsia="楷体" w:cs="楷体"/>
          <w:sz w:val="30"/>
          <w:szCs w:val="30"/>
        </w:rPr>
      </w:pPr>
      <w:r>
        <w:rPr>
          <w:rFonts w:hint="eastAsia" w:ascii="楷体" w:hAnsi="楷体" w:eastAsia="楷体" w:cs="楷体"/>
          <w:sz w:val="30"/>
          <w:szCs w:val="30"/>
        </w:rPr>
        <w:t>（二）硬件设计生产及分析环境</w:t>
      </w:r>
    </w:p>
    <w:tbl>
      <w:tblPr>
        <w:tblStyle w:val="8"/>
        <w:tblW w:w="8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561"/>
        <w:gridCol w:w="2293"/>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序号</w:t>
            </w:r>
          </w:p>
        </w:tc>
        <w:tc>
          <w:tcPr>
            <w:tcW w:w="1561" w:type="dxa"/>
            <w:vAlign w:val="center"/>
          </w:tcPr>
          <w:p>
            <w:pPr>
              <w:snapToGrid w:val="0"/>
              <w:jc w:val="center"/>
              <w:rPr>
                <w:rFonts w:asciiTheme="minorEastAsia" w:hAnsiTheme="minorEastAsia"/>
                <w:b/>
                <w:sz w:val="24"/>
              </w:rPr>
            </w:pPr>
            <w:r>
              <w:rPr>
                <w:rFonts w:hint="eastAsia" w:asciiTheme="minorEastAsia" w:hAnsiTheme="minorEastAsia"/>
                <w:b/>
                <w:sz w:val="24"/>
              </w:rPr>
              <w:t>软/硬件名称</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Theme="minorEastAsia" w:hAnsiTheme="minorEastAsia"/>
                <w:b/>
                <w:sz w:val="24"/>
              </w:rPr>
            </w:pPr>
            <w:r>
              <w:rPr>
                <w:rFonts w:hint="eastAsia" w:asciiTheme="minorEastAsia" w:hAnsiTheme="minorEastAsia"/>
                <w:b/>
                <w:sz w:val="24"/>
              </w:rPr>
              <w:t>应用</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asciiTheme="minorEastAsia" w:hAnsiTheme="minorEastAsia"/>
                <w:b/>
                <w:sz w:val="24"/>
              </w:rPr>
            </w:pPr>
            <w:r>
              <w:rPr>
                <w:rFonts w:hint="eastAsia" w:asciiTheme="minorEastAsia" w:hAnsiTheme="minorEastAsia"/>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仿宋" w:hAnsi="仿宋" w:eastAsia="仿宋" w:cs="仿宋"/>
                <w:b/>
                <w:sz w:val="24"/>
              </w:rPr>
            </w:pPr>
            <w:r>
              <w:rPr>
                <w:rFonts w:hint="eastAsia" w:ascii="仿宋" w:hAnsi="仿宋" w:eastAsia="仿宋" w:cs="仿宋"/>
                <w:b/>
                <w:sz w:val="24"/>
              </w:rPr>
              <w:t>1</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BM3803系列处理器</w:t>
            </w:r>
          </w:p>
        </w:tc>
        <w:tc>
          <w:tcPr>
            <w:tcW w:w="2293" w:type="dxa"/>
            <w:tcBorders>
              <w:top w:val="single" w:color="000000" w:sz="8" w:space="0"/>
              <w:left w:val="single" w:color="000000" w:sz="8" w:space="0"/>
              <w:bottom w:val="single" w:color="000000" w:sz="8" w:space="0"/>
            </w:tcBorders>
            <w:shd w:val="clear" w:color="auto" w:fill="FFFFFF"/>
            <w:vAlign w:val="center"/>
          </w:tcPr>
          <w:p>
            <w:pPr>
              <w:widowControl/>
              <w:snapToGrid w:val="0"/>
              <w:rPr>
                <w:rFonts w:ascii="仿宋" w:hAnsi="仿宋" w:eastAsia="仿宋" w:cs="仿宋"/>
                <w:sz w:val="24"/>
              </w:rPr>
            </w:pPr>
            <w:r>
              <w:rPr>
                <w:rFonts w:hint="eastAsia" w:ascii="仿宋" w:hAnsi="仿宋" w:eastAsia="仿宋" w:cs="仿宋"/>
                <w:spacing w:val="10"/>
                <w:kern w:val="0"/>
                <w:sz w:val="24"/>
                <w:shd w:val="clear" w:color="auto" w:fill="FFFFFF"/>
                <w:lang w:eastAsia="zh-Hans" w:bidi="ar"/>
              </w:rPr>
              <w:t>适用</w:t>
            </w:r>
            <w:r>
              <w:rPr>
                <w:rFonts w:hint="eastAsia" w:ascii="仿宋" w:hAnsi="仿宋" w:eastAsia="仿宋" w:cs="仿宋"/>
                <w:spacing w:val="10"/>
                <w:kern w:val="0"/>
                <w:sz w:val="24"/>
                <w:shd w:val="clear" w:color="auto" w:fill="FFFFFF"/>
                <w:lang w:bidi="ar"/>
              </w:rPr>
              <w:t>空间恶劣环境应用的抗辐射、长寿命、高可靠指标要求</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ascii="仿宋" w:hAnsi="仿宋" w:eastAsia="仿宋" w:cs="仿宋"/>
                <w:sz w:val="24"/>
              </w:rPr>
            </w:pPr>
            <w:r>
              <w:rPr>
                <w:rFonts w:hint="eastAsia" w:ascii="仿宋" w:hAnsi="仿宋" w:eastAsia="仿宋" w:cs="仿宋"/>
                <w:sz w:val="24"/>
              </w:rPr>
              <w:t>基于 SPARC V8 体系结构的抗辐射 32 位 RISC 嵌入式处理器。内核包含整数处理单元、浮点处理单元、独立的指令和数据 Cache、硬件乘/除法器，外 设包括中断控制器、定时器、看门狗、UART、通用 I/O 接口、外部存储器控制器、PCI 总 线控制器等。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1" w:type="dxa"/>
            <w:vAlign w:val="center"/>
          </w:tcPr>
          <w:p>
            <w:pPr>
              <w:snapToGrid w:val="0"/>
              <w:jc w:val="center"/>
              <w:rPr>
                <w:rFonts w:ascii="仿宋" w:hAnsi="仿宋" w:eastAsia="仿宋" w:cs="仿宋"/>
                <w:b/>
                <w:sz w:val="24"/>
              </w:rPr>
            </w:pPr>
            <w:r>
              <w:rPr>
                <w:rFonts w:hint="eastAsia" w:ascii="仿宋" w:hAnsi="仿宋" w:eastAsia="仿宋" w:cs="仿宋"/>
                <w:b/>
                <w:sz w:val="24"/>
              </w:rPr>
              <w:t>2</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BM3883/</w:t>
            </w:r>
          </w:p>
          <w:p>
            <w:pPr>
              <w:snapToGrid w:val="0"/>
              <w:jc w:val="center"/>
              <w:rPr>
                <w:rFonts w:ascii="仿宋" w:hAnsi="仿宋" w:eastAsia="仿宋" w:cs="仿宋"/>
                <w:sz w:val="24"/>
              </w:rPr>
            </w:pPr>
            <w:r>
              <w:rPr>
                <w:rFonts w:hint="eastAsia" w:ascii="仿宋" w:hAnsi="仿宋" w:eastAsia="仿宋" w:cs="仿宋"/>
                <w:sz w:val="24"/>
              </w:rPr>
              <w:t>BM3843</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lang w:eastAsia="zh-Hans"/>
              </w:rPr>
              <w:t>适</w:t>
            </w:r>
            <w:r>
              <w:rPr>
                <w:rFonts w:hint="eastAsia" w:ascii="仿宋" w:hAnsi="仿宋" w:eastAsia="仿宋" w:cs="仿宋"/>
                <w:sz w:val="24"/>
              </w:rPr>
              <w:t>用于重大航天任务支撑及应用研制</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仿宋" w:hAnsi="仿宋" w:eastAsia="仿宋" w:cs="仿宋"/>
                <w:b/>
                <w:sz w:val="24"/>
              </w:rPr>
            </w:pPr>
            <w:r>
              <w:rPr>
                <w:rFonts w:hint="eastAsia" w:ascii="仿宋" w:hAnsi="仿宋" w:eastAsia="仿宋" w:cs="仿宋"/>
                <w:b/>
                <w:sz w:val="24"/>
              </w:rPr>
              <w:t>3</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麒麟系列处理器</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lang w:eastAsia="zh-Hans"/>
              </w:rPr>
              <w:t>适</w:t>
            </w:r>
            <w:r>
              <w:rPr>
                <w:rFonts w:hint="eastAsia" w:ascii="仿宋" w:hAnsi="仿宋" w:eastAsia="仿宋" w:cs="仿宋"/>
                <w:sz w:val="24"/>
              </w:rPr>
              <w:t>用于卫星应用领域装备设计制造</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仿宋" w:hAnsi="仿宋" w:eastAsia="仿宋" w:cs="仿宋"/>
                <w:b/>
                <w:sz w:val="24"/>
              </w:rPr>
            </w:pPr>
            <w:r>
              <w:rPr>
                <w:rFonts w:hint="eastAsia" w:ascii="仿宋" w:hAnsi="仿宋" w:eastAsia="仿宋" w:cs="仿宋"/>
                <w:b/>
                <w:sz w:val="24"/>
              </w:rPr>
              <w:t>4</w:t>
            </w:r>
          </w:p>
        </w:tc>
        <w:tc>
          <w:tcPr>
            <w:tcW w:w="1561" w:type="dxa"/>
            <w:vAlign w:val="center"/>
          </w:tcPr>
          <w:p>
            <w:pPr>
              <w:snapToGrid w:val="0"/>
              <w:rPr>
                <w:rFonts w:ascii="仿宋" w:hAnsi="仿宋" w:eastAsia="仿宋" w:cs="仿宋"/>
                <w:sz w:val="24"/>
              </w:rPr>
            </w:pPr>
            <w:r>
              <w:rPr>
                <w:rFonts w:hint="eastAsia" w:ascii="仿宋" w:hAnsi="仿宋" w:eastAsia="仿宋" w:cs="仿宋"/>
                <w:sz w:val="24"/>
              </w:rPr>
              <w:t>昇腾系列处理器</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适用于基于人工智能的卫星应用领域华为自主研发的人工智能芯片</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5</w:t>
            </w:r>
          </w:p>
        </w:tc>
        <w:tc>
          <w:tcPr>
            <w:tcW w:w="1561" w:type="dxa"/>
            <w:vAlign w:val="center"/>
          </w:tcPr>
          <w:p>
            <w:pPr>
              <w:snapToGrid w:val="0"/>
              <w:jc w:val="center"/>
              <w:rPr>
                <w:rFonts w:asciiTheme="minorEastAsia" w:hAnsiTheme="minorEastAsia"/>
                <w:b/>
                <w:sz w:val="24"/>
              </w:rPr>
            </w:pPr>
            <w:r>
              <w:rPr>
                <w:rFonts w:ascii="仿宋" w:hAnsi="仿宋" w:eastAsia="仿宋" w:cs="仿宋"/>
                <w:sz w:val="24"/>
              </w:rPr>
              <w:t>ADAMS</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Theme="minorEastAsia" w:hAnsiTheme="minorEastAsia"/>
                <w:b/>
                <w:sz w:val="24"/>
              </w:rPr>
            </w:pPr>
            <w:r>
              <w:rPr>
                <w:rFonts w:hint="eastAsia" w:ascii="仿宋" w:hAnsi="仿宋" w:eastAsia="仿宋" w:cs="仿宋"/>
                <w:sz w:val="24"/>
              </w:rPr>
              <w:t>适用于整星或部组件机械动力学分析环境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eastAsia="仿宋" w:asciiTheme="minorEastAsia" w:hAnsiTheme="minorEastAsia"/>
                <w:b/>
                <w:sz w:val="24"/>
                <w:lang w:eastAsia="zh-CN"/>
              </w:rPr>
            </w:pPr>
            <w:r>
              <w:rPr>
                <w:rFonts w:hint="eastAsia" w:ascii="仿宋" w:hAnsi="仿宋" w:eastAsia="仿宋" w:cs="仿宋"/>
                <w:sz w:val="24"/>
              </w:rPr>
              <w:t>可对虚拟机械系统进行静力学、运动学与动力学分析，能够输出位移、速度、加速度与反作用力曲线。ADAMS软件仿真可用于预测机械系统的性能、运动范围、碰撞检测、峰值载荷以及计算有限元得输入载荷等</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6</w:t>
            </w:r>
          </w:p>
        </w:tc>
        <w:tc>
          <w:tcPr>
            <w:tcW w:w="1561" w:type="dxa"/>
            <w:vAlign w:val="center"/>
          </w:tcPr>
          <w:p>
            <w:pPr>
              <w:snapToGrid w:val="0"/>
              <w:jc w:val="center"/>
              <w:rPr>
                <w:rFonts w:ascii="仿宋" w:hAnsi="仿宋" w:eastAsia="仿宋" w:cs="仿宋"/>
                <w:sz w:val="24"/>
              </w:rPr>
            </w:pPr>
            <w:r>
              <w:rPr>
                <w:rFonts w:ascii="仿宋" w:hAnsi="仿宋" w:eastAsia="仿宋" w:cs="仿宋"/>
                <w:sz w:val="24"/>
              </w:rPr>
              <w:t>ANSYS</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适用于整星结构、流体、电磁场等有限元分析等环境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ascii="仿宋" w:hAnsi="仿宋" w:eastAsia="仿宋" w:cs="仿宋"/>
                <w:sz w:val="24"/>
              </w:rPr>
            </w:pPr>
            <w:r>
              <w:rPr>
                <w:rFonts w:hint="eastAsia" w:ascii="仿宋" w:hAnsi="仿宋" w:eastAsia="仿宋" w:cs="仿宋"/>
                <w:sz w:val="24"/>
              </w:rPr>
              <w:t>可</w:t>
            </w:r>
            <w:r>
              <w:rPr>
                <w:rFonts w:ascii="仿宋" w:hAnsi="仿宋" w:eastAsia="仿宋" w:cs="仿宋"/>
                <w:sz w:val="24"/>
              </w:rPr>
              <w:t>通过混合网格剖分功能和CAD模型细节处理功能，提供完整的网格划分工具</w:t>
            </w:r>
            <w:r>
              <w:rPr>
                <w:rFonts w:hint="eastAsia" w:ascii="仿宋" w:hAnsi="仿宋" w:eastAsia="仿宋" w:cs="仿宋"/>
                <w:sz w:val="24"/>
              </w:rPr>
              <w:t>，用</w:t>
            </w:r>
            <w:r>
              <w:rPr>
                <w:rFonts w:ascii="仿宋" w:hAnsi="仿宋" w:eastAsia="仿宋" w:cs="仿宋"/>
                <w:sz w:val="24"/>
              </w:rPr>
              <w:t>以模拟</w:t>
            </w:r>
            <w:r>
              <w:rPr>
                <w:rFonts w:hint="eastAsia" w:ascii="仿宋" w:hAnsi="仿宋" w:eastAsia="仿宋" w:cs="仿宋"/>
                <w:sz w:val="24"/>
              </w:rPr>
              <w:t>部组件生产精确的分析。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7</w:t>
            </w:r>
          </w:p>
        </w:tc>
        <w:tc>
          <w:tcPr>
            <w:tcW w:w="1561" w:type="dxa"/>
            <w:vAlign w:val="center"/>
          </w:tcPr>
          <w:p>
            <w:pPr>
              <w:snapToGrid w:val="0"/>
              <w:jc w:val="center"/>
              <w:rPr>
                <w:rFonts w:ascii="仿宋" w:hAnsi="仿宋" w:eastAsia="仿宋" w:cs="仿宋"/>
                <w:sz w:val="24"/>
              </w:rPr>
            </w:pPr>
            <w:r>
              <w:rPr>
                <w:rFonts w:ascii="仿宋" w:hAnsi="仿宋" w:eastAsia="仿宋" w:cs="仿宋"/>
                <w:sz w:val="24"/>
              </w:rPr>
              <w:t>Cadence</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适用于电子平台、载荷电路原理及PCB 板设计环境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支持ASIC 设计、FPGA 设计和PCB 板设计等</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8</w:t>
            </w:r>
          </w:p>
        </w:tc>
        <w:tc>
          <w:tcPr>
            <w:tcW w:w="1561" w:type="dxa"/>
            <w:vAlign w:val="center"/>
          </w:tcPr>
          <w:p>
            <w:pPr>
              <w:snapToGrid w:val="0"/>
              <w:jc w:val="center"/>
              <w:rPr>
                <w:rFonts w:ascii="仿宋" w:hAnsi="仿宋" w:eastAsia="仿宋" w:cs="仿宋"/>
                <w:sz w:val="24"/>
              </w:rPr>
            </w:pPr>
            <w:r>
              <w:rPr>
                <w:rFonts w:ascii="仿宋" w:hAnsi="仿宋" w:eastAsia="仿宋" w:cs="仿宋"/>
                <w:sz w:val="24"/>
              </w:rPr>
              <w:t>CAM</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适用于计算机辅助卫星零件、部件、组件等的生产制造过程管理</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支持制造过程的计划、管理、生产设备的操控、生产过程的数据监控、模拟仿真以及产品检测与检验等环节</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9</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CAPP</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适用于卫星零件、部件、组件等的机械加工工艺计算机辅助环境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能够利用计算机进行数值计算、逻辑判断和推理等的功能来制定零部件</w:t>
            </w:r>
            <w:r>
              <w:fldChar w:fldCharType="begin"/>
            </w:r>
            <w:r>
              <w:instrText xml:space="preserve"> HYPERLINK "https://baike.baidu.com/item/%E6%9C%BA%E6%A2%B0%E5%8A%A0%E5%B7%A5%E5%B7%A5%E8%89%BA/318830" \t "https://baike.baidu.com/item/_blank" </w:instrText>
            </w:r>
            <w:r>
              <w:fldChar w:fldCharType="separate"/>
            </w:r>
            <w:r>
              <w:rPr>
                <w:rFonts w:ascii="仿宋" w:hAnsi="仿宋" w:eastAsia="仿宋" w:cs="仿宋"/>
                <w:sz w:val="24"/>
              </w:rPr>
              <w:t>机械加工工艺</w:t>
            </w:r>
            <w:r>
              <w:rPr>
                <w:rFonts w:ascii="仿宋" w:hAnsi="仿宋" w:eastAsia="仿宋" w:cs="仿宋"/>
                <w:sz w:val="24"/>
              </w:rPr>
              <w:fldChar w:fldCharType="end"/>
            </w:r>
            <w:r>
              <w:rPr>
                <w:rFonts w:ascii="仿宋" w:hAnsi="仿宋" w:eastAsia="仿宋" w:cs="仿宋"/>
                <w:sz w:val="24"/>
              </w:rPr>
              <w:t>过程</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10</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中望CAD</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适用于结构等图形设计环境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应用于整星、卫星平台、载荷等的结构、机构、热控系统、能源系统等设计分析</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11</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CAD</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适用于结构等图形设计环境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应用于整星、卫星平台、载荷等的结构、机构、热控系统、能源系统等设计分析</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12</w:t>
            </w:r>
          </w:p>
        </w:tc>
        <w:tc>
          <w:tcPr>
            <w:tcW w:w="1561" w:type="dxa"/>
            <w:vAlign w:val="center"/>
          </w:tcPr>
          <w:p>
            <w:pPr>
              <w:snapToGrid w:val="0"/>
              <w:jc w:val="center"/>
              <w:rPr>
                <w:rFonts w:ascii="仿宋" w:hAnsi="仿宋" w:eastAsia="仿宋" w:cs="仿宋"/>
                <w:sz w:val="24"/>
              </w:rPr>
            </w:pPr>
            <w:r>
              <w:rPr>
                <w:rFonts w:ascii="仿宋" w:hAnsi="仿宋" w:eastAsia="仿宋" w:cs="仿宋"/>
                <w:sz w:val="24"/>
              </w:rPr>
              <w:t>F</w:t>
            </w:r>
            <w:r>
              <w:rPr>
                <w:rFonts w:hint="eastAsia" w:ascii="仿宋" w:hAnsi="仿宋" w:eastAsia="仿宋" w:cs="仿宋"/>
                <w:sz w:val="24"/>
              </w:rPr>
              <w:t>LO</w:t>
            </w:r>
            <w:r>
              <w:rPr>
                <w:rFonts w:ascii="仿宋" w:hAnsi="仿宋" w:eastAsia="仿宋" w:cs="仿宋"/>
                <w:sz w:val="24"/>
              </w:rPr>
              <w:t>EFD</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适用于流体力学分析环境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具有模型转化、模型处理以及网格、收敛分析等功能</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13</w:t>
            </w:r>
          </w:p>
        </w:tc>
        <w:tc>
          <w:tcPr>
            <w:tcW w:w="1561" w:type="dxa"/>
            <w:vAlign w:val="center"/>
          </w:tcPr>
          <w:p>
            <w:pPr>
              <w:snapToGrid w:val="0"/>
              <w:jc w:val="center"/>
              <w:rPr>
                <w:rFonts w:ascii="仿宋" w:hAnsi="仿宋" w:eastAsia="仿宋" w:cs="仿宋"/>
                <w:sz w:val="24"/>
              </w:rPr>
            </w:pPr>
            <w:r>
              <w:rPr>
                <w:rFonts w:ascii="仿宋" w:hAnsi="仿宋" w:eastAsia="仿宋" w:cs="仿宋"/>
                <w:sz w:val="24"/>
              </w:rPr>
              <w:t>FLOTHERM</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适用于散热仿真分析环境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支持</w:t>
            </w:r>
            <w:r>
              <w:rPr>
                <w:rFonts w:ascii="仿宋" w:hAnsi="仿宋" w:eastAsia="仿宋" w:cs="仿宋"/>
                <w:sz w:val="24"/>
              </w:rPr>
              <w:t>电子设备虚拟模型</w:t>
            </w:r>
            <w:r>
              <w:rPr>
                <w:rFonts w:hint="eastAsia" w:ascii="仿宋" w:hAnsi="仿宋" w:eastAsia="仿宋" w:cs="仿宋"/>
                <w:sz w:val="24"/>
              </w:rPr>
              <w:t>、</w:t>
            </w:r>
            <w:r>
              <w:rPr>
                <w:rFonts w:ascii="仿宋" w:hAnsi="仿宋" w:eastAsia="仿宋" w:cs="仿宋"/>
                <w:sz w:val="24"/>
              </w:rPr>
              <w:t>运行</w:t>
            </w:r>
            <w:r>
              <w:fldChar w:fldCharType="begin"/>
            </w:r>
            <w:r>
              <w:instrText xml:space="preserve"> HYPERLINK "https://baike.baidu.com/item/%E7%83%AD%E5%88%86%E6%9E%90/187820" \t "https://baike.baidu.com/item/_blank" </w:instrText>
            </w:r>
            <w:r>
              <w:fldChar w:fldCharType="separate"/>
            </w:r>
            <w:r>
              <w:rPr>
                <w:rFonts w:ascii="仿宋" w:hAnsi="仿宋" w:eastAsia="仿宋" w:cs="仿宋"/>
                <w:sz w:val="24"/>
              </w:rPr>
              <w:t>热分析</w:t>
            </w:r>
            <w:r>
              <w:rPr>
                <w:rFonts w:ascii="仿宋" w:hAnsi="仿宋" w:eastAsia="仿宋" w:cs="仿宋"/>
                <w:sz w:val="24"/>
              </w:rPr>
              <w:fldChar w:fldCharType="end"/>
            </w:r>
            <w:r>
              <w:rPr>
                <w:rFonts w:hint="eastAsia" w:ascii="仿宋" w:hAnsi="仿宋" w:eastAsia="仿宋" w:cs="仿宋"/>
                <w:sz w:val="24"/>
              </w:rPr>
              <w:t>等功能。能够支持</w:t>
            </w:r>
            <w:r>
              <w:fldChar w:fldCharType="begin"/>
            </w:r>
            <w:r>
              <w:instrText xml:space="preserve"> HYPERLINK "https://baike.baidu.com/item/%E6%8A%80%E6%9C%AF%E9%A2%84%E6%B5%8B/7161834" \t "https://baike.baidu.com/item/_blank" </w:instrText>
            </w:r>
            <w:r>
              <w:fldChar w:fldCharType="separate"/>
            </w:r>
            <w:r>
              <w:rPr>
                <w:rFonts w:ascii="仿宋" w:hAnsi="仿宋" w:eastAsia="仿宋" w:cs="仿宋"/>
                <w:sz w:val="24"/>
              </w:rPr>
              <w:t>预测</w:t>
            </w:r>
            <w:r>
              <w:rPr>
                <w:rFonts w:ascii="仿宋" w:hAnsi="仿宋" w:eastAsia="仿宋" w:cs="仿宋"/>
                <w:sz w:val="24"/>
              </w:rPr>
              <w:fldChar w:fldCharType="end"/>
            </w:r>
            <w:r>
              <w:rPr>
                <w:rFonts w:ascii="仿宋" w:hAnsi="仿宋" w:eastAsia="仿宋" w:cs="仿宋"/>
                <w:sz w:val="24"/>
              </w:rPr>
              <w:t>元器件级、板级、系统级的电子设备气流、温度、热传</w:t>
            </w:r>
            <w:r>
              <w:rPr>
                <w:rFonts w:hint="eastAsia" w:ascii="仿宋" w:hAnsi="仿宋" w:eastAsia="仿宋" w:cs="仿宋"/>
                <w:sz w:val="24"/>
              </w:rPr>
              <w:t>等</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14</w:t>
            </w:r>
          </w:p>
        </w:tc>
        <w:tc>
          <w:tcPr>
            <w:tcW w:w="1561" w:type="dxa"/>
            <w:vAlign w:val="center"/>
          </w:tcPr>
          <w:p>
            <w:pPr>
              <w:snapToGrid w:val="0"/>
              <w:jc w:val="center"/>
              <w:rPr>
                <w:rFonts w:ascii="仿宋" w:hAnsi="仿宋" w:eastAsia="仿宋" w:cs="仿宋"/>
                <w:sz w:val="24"/>
              </w:rPr>
            </w:pPr>
            <w:r>
              <w:rPr>
                <w:rFonts w:hint="eastAsia" w:ascii="仿宋" w:hAnsi="仿宋" w:eastAsia="仿宋" w:cs="仿宋"/>
                <w:sz w:val="24"/>
              </w:rPr>
              <w:t>FLOWMASTER</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center"/>
              <w:rPr>
                <w:rFonts w:ascii="仿宋" w:hAnsi="仿宋" w:eastAsia="仿宋" w:cs="仿宋"/>
                <w:sz w:val="24"/>
              </w:rPr>
            </w:pPr>
            <w:r>
              <w:rPr>
                <w:rFonts w:hint="eastAsia" w:ascii="仿宋" w:hAnsi="仿宋" w:eastAsia="仿宋" w:cs="仿宋"/>
                <w:sz w:val="24"/>
              </w:rPr>
              <w:t>适用于热流体仿真分析环境</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能够支持推进</w:t>
            </w:r>
            <w:r>
              <w:rPr>
                <w:rFonts w:ascii="仿宋" w:hAnsi="仿宋" w:eastAsia="仿宋" w:cs="仿宋"/>
                <w:sz w:val="24"/>
              </w:rPr>
              <w:t>系统、环境控制系统、液压系统等</w:t>
            </w:r>
            <w:r>
              <w:rPr>
                <w:rFonts w:hint="eastAsia" w:ascii="仿宋" w:hAnsi="仿宋" w:eastAsia="仿宋" w:cs="仿宋"/>
                <w:sz w:val="24"/>
              </w:rPr>
              <w:t>、热控系统</w:t>
            </w:r>
            <w:r>
              <w:rPr>
                <w:rFonts w:ascii="仿宋" w:hAnsi="仿宋" w:eastAsia="仿宋" w:cs="仿宋"/>
                <w:sz w:val="24"/>
              </w:rPr>
              <w:t>等</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15</w:t>
            </w:r>
          </w:p>
        </w:tc>
        <w:tc>
          <w:tcPr>
            <w:tcW w:w="1561" w:type="dxa"/>
            <w:vAlign w:val="center"/>
          </w:tcPr>
          <w:p>
            <w:pPr>
              <w:snapToGrid w:val="0"/>
              <w:jc w:val="left"/>
              <w:rPr>
                <w:rFonts w:ascii="仿宋" w:hAnsi="仿宋" w:eastAsia="仿宋" w:cs="仿宋"/>
                <w:sz w:val="24"/>
              </w:rPr>
            </w:pPr>
            <w:r>
              <w:rPr>
                <w:rFonts w:hint="eastAsia" w:ascii="仿宋" w:hAnsi="仿宋" w:eastAsia="仿宋" w:cs="仿宋"/>
                <w:sz w:val="24"/>
              </w:rPr>
              <w:t>卫星AIT</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适用于卫星设计、研制和装配正确性的重要测试验证</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能及时发现卫星产品在设计、制造、装配上的问题、风险和隐患，确保卫星发射成功、在轨稳定运行、飞行任务成功</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asciiTheme="minorEastAsia" w:hAnsiTheme="minorEastAsia"/>
                <w:b/>
                <w:sz w:val="24"/>
              </w:rPr>
            </w:pPr>
            <w:r>
              <w:rPr>
                <w:rFonts w:hint="eastAsia" w:asciiTheme="minorEastAsia" w:hAnsiTheme="minorEastAsia"/>
                <w:b/>
                <w:sz w:val="24"/>
              </w:rPr>
              <w:t>16</w:t>
            </w:r>
          </w:p>
        </w:tc>
        <w:tc>
          <w:tcPr>
            <w:tcW w:w="1561" w:type="dxa"/>
            <w:vAlign w:val="center"/>
          </w:tcPr>
          <w:p>
            <w:pPr>
              <w:snapToGrid w:val="0"/>
              <w:jc w:val="left"/>
              <w:rPr>
                <w:rFonts w:ascii="仿宋" w:hAnsi="仿宋" w:eastAsia="仿宋" w:cs="仿宋"/>
                <w:sz w:val="24"/>
              </w:rPr>
            </w:pPr>
            <w:r>
              <w:rPr>
                <w:rFonts w:hint="eastAsia" w:ascii="仿宋" w:hAnsi="仿宋" w:eastAsia="仿宋" w:cs="仿宋"/>
                <w:sz w:val="24"/>
              </w:rPr>
              <w:t>RTK测量系统</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left"/>
              <w:rPr>
                <w:rFonts w:ascii="仿宋" w:hAnsi="仿宋" w:eastAsia="仿宋" w:cs="仿宋"/>
                <w:sz w:val="24"/>
              </w:rPr>
            </w:pPr>
            <w:r>
              <w:rPr>
                <w:rFonts w:hint="eastAsia" w:ascii="仿宋" w:hAnsi="仿宋" w:eastAsia="仿宋" w:cs="仿宋"/>
                <w:sz w:val="24"/>
              </w:rPr>
              <w:t>智绘·虚实测图1+1套装</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eastAsia" w:ascii="仿宋" w:hAnsi="仿宋" w:eastAsia="仿宋" w:cs="仿宋"/>
                <w:sz w:val="24"/>
                <w:lang w:eastAsia="zh-CN"/>
              </w:rPr>
            </w:pPr>
            <w:r>
              <w:rPr>
                <w:rFonts w:hint="eastAsia" w:ascii="仿宋" w:hAnsi="仿宋" w:eastAsia="仿宋" w:cs="仿宋"/>
                <w:sz w:val="24"/>
              </w:rPr>
              <w:t>包括极点移动站套装、虚拟仿真测图软件</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snapToGrid w:val="0"/>
              <w:jc w:val="center"/>
              <w:rPr>
                <w:rFonts w:hint="default" w:asciiTheme="minorEastAsia" w:hAnsiTheme="minorEastAsia" w:eastAsiaTheme="minorEastAsia"/>
                <w:b/>
                <w:sz w:val="24"/>
                <w:lang w:val="en-US" w:eastAsia="zh-CN"/>
              </w:rPr>
            </w:pPr>
            <w:r>
              <w:rPr>
                <w:rFonts w:hint="eastAsia" w:asciiTheme="minorEastAsia" w:hAnsiTheme="minorEastAsia"/>
                <w:b/>
                <w:sz w:val="24"/>
                <w:lang w:val="en-US" w:eastAsia="zh-CN"/>
              </w:rPr>
              <w:t>17</w:t>
            </w:r>
          </w:p>
        </w:tc>
        <w:tc>
          <w:tcPr>
            <w:tcW w:w="1561" w:type="dxa"/>
            <w:vAlign w:val="center"/>
          </w:tcPr>
          <w:p>
            <w:pPr>
              <w:snapToGrid w:val="0"/>
              <w:jc w:val="left"/>
              <w:rPr>
                <w:rFonts w:hint="default" w:ascii="仿宋" w:hAnsi="仿宋" w:eastAsia="仿宋" w:cs="仿宋"/>
                <w:sz w:val="24"/>
                <w:lang w:val="en-US" w:eastAsia="zh-CN"/>
              </w:rPr>
            </w:pPr>
            <w:r>
              <w:rPr>
                <w:rFonts w:hint="eastAsia" w:ascii="仿宋" w:hAnsi="仿宋" w:eastAsia="仿宋" w:cs="仿宋"/>
                <w:sz w:val="24"/>
                <w:lang w:val="en-US" w:eastAsia="zh-CN"/>
              </w:rPr>
              <w:t>卫星电源系统实训平台</w:t>
            </w:r>
          </w:p>
        </w:tc>
        <w:tc>
          <w:tcPr>
            <w:tcW w:w="2293" w:type="dxa"/>
            <w:tcBorders>
              <w:top w:val="single" w:color="000000" w:sz="8" w:space="0"/>
              <w:left w:val="single" w:color="000000" w:sz="8" w:space="0"/>
              <w:bottom w:val="single" w:color="000000" w:sz="8" w:space="0"/>
            </w:tcBorders>
            <w:shd w:val="clear" w:color="auto" w:fill="FFFFFF"/>
            <w:vAlign w:val="center"/>
          </w:tcPr>
          <w:p>
            <w:pPr>
              <w:snapToGrid w:val="0"/>
              <w:jc w:val="left"/>
              <w:rPr>
                <w:rFonts w:hint="eastAsia" w:ascii="仿宋" w:hAnsi="仿宋" w:eastAsia="仿宋" w:cs="仿宋"/>
                <w:sz w:val="24"/>
              </w:rPr>
            </w:pPr>
            <w:r>
              <w:rPr>
                <w:rFonts w:hint="eastAsia" w:ascii="仿宋" w:hAnsi="仿宋" w:eastAsia="仿宋" w:cs="仿宋"/>
                <w:sz w:val="24"/>
              </w:rPr>
              <w:t>HX-SPV16型 卫星电源综合实训系统</w:t>
            </w:r>
          </w:p>
        </w:tc>
        <w:tc>
          <w:tcPr>
            <w:tcW w:w="3838" w:type="dxa"/>
            <w:tcBorders>
              <w:top w:val="single" w:color="000000" w:sz="8" w:space="0"/>
              <w:left w:val="single" w:color="auto" w:sz="4" w:space="0"/>
              <w:bottom w:val="single" w:color="000000" w:sz="8" w:space="0"/>
            </w:tcBorders>
            <w:shd w:val="clear" w:color="auto" w:fill="FFFFFF"/>
            <w:vAlign w:val="center"/>
          </w:tcPr>
          <w:p>
            <w:pPr>
              <w:snapToGrid w:val="0"/>
              <w:jc w:val="left"/>
              <w:rPr>
                <w:rFonts w:hint="default" w:ascii="仿宋" w:hAnsi="仿宋" w:eastAsia="仿宋" w:cs="仿宋"/>
                <w:sz w:val="24"/>
                <w:lang w:val="en-US" w:eastAsia="zh-CN"/>
              </w:rPr>
            </w:pPr>
            <w:r>
              <w:rPr>
                <w:rFonts w:hint="eastAsia" w:ascii="仿宋" w:hAnsi="仿宋" w:eastAsia="仿宋" w:cs="仿宋"/>
                <w:sz w:val="24"/>
                <w:lang w:val="en-US" w:eastAsia="zh-CN"/>
              </w:rPr>
              <w:t>包括卫星电源系统原理学习与实操训练。</w:t>
            </w:r>
          </w:p>
        </w:tc>
      </w:tr>
    </w:tbl>
    <w:p>
      <w:pPr>
        <w:spacing w:line="560" w:lineRule="exact"/>
        <w:jc w:val="left"/>
        <w:rPr>
          <w:rFonts w:ascii="仿宋" w:hAnsi="仿宋" w:eastAsia="仿宋" w:cs="仿宋"/>
          <w:sz w:val="30"/>
          <w:szCs w:val="30"/>
        </w:rPr>
      </w:pPr>
    </w:p>
    <w:p>
      <w:pPr>
        <w:spacing w:line="560" w:lineRule="exact"/>
        <w:ind w:firstLine="600" w:firstLineChars="200"/>
        <w:jc w:val="left"/>
        <w:outlineLvl w:val="0"/>
        <w:rPr>
          <w:rFonts w:ascii="黑体" w:hAnsi="黑体" w:eastAsia="黑体" w:cs="黑体"/>
          <w:sz w:val="30"/>
          <w:szCs w:val="30"/>
        </w:rPr>
      </w:pPr>
      <w:r>
        <w:rPr>
          <w:rFonts w:hint="eastAsia" w:ascii="黑体" w:hAnsi="黑体" w:eastAsia="黑体" w:cs="黑体"/>
          <w:sz w:val="30"/>
          <w:szCs w:val="30"/>
        </w:rPr>
        <w:t>八、评审组织</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在赛项执委会的领导下成立由评审委员会和监督仲裁组组成的成绩管理组织机构，评审专家负责分配作品的现场问辩评审工作。监督仲裁主要负责竞赛期间评审的监督，参赛作品的质疑投诉的接受、调查、解决等工作，具体要求与分工如下：</w:t>
      </w:r>
    </w:p>
    <w:p>
      <w:pPr>
        <w:spacing w:line="560" w:lineRule="exact"/>
        <w:ind w:firstLine="602" w:firstLineChars="200"/>
        <w:jc w:val="left"/>
        <w:outlineLvl w:val="1"/>
        <w:rPr>
          <w:rFonts w:ascii="仿宋" w:hAnsi="仿宋" w:eastAsia="仿宋" w:cs="仿宋"/>
          <w:b/>
          <w:bCs/>
          <w:sz w:val="30"/>
          <w:szCs w:val="30"/>
        </w:rPr>
      </w:pPr>
      <w:r>
        <w:rPr>
          <w:rFonts w:hint="eastAsia" w:ascii="仿宋" w:hAnsi="仿宋" w:eastAsia="仿宋" w:cs="仿宋"/>
          <w:b/>
          <w:bCs/>
          <w:sz w:val="30"/>
          <w:szCs w:val="30"/>
        </w:rPr>
        <w:t>1.评审委员会</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由全国组织委员会聘请各相关领域专家学者、大国工匠、企业家等组成。全国评审委员会设主任、副主任和评审委员若干名。全国评审委员会有权在竞赛章程和评审规则所规定的原则下，独立开展评审工作。评审委员会职责如下：</w:t>
      </w:r>
    </w:p>
    <w:p>
      <w:pPr>
        <w:spacing w:line="560" w:lineRule="exact"/>
        <w:ind w:firstLine="600" w:firstLineChars="200"/>
        <w:jc w:val="left"/>
        <w:outlineLvl w:val="2"/>
        <w:rPr>
          <w:rFonts w:ascii="仿宋" w:hAnsi="仿宋" w:eastAsia="仿宋" w:cs="仿宋"/>
          <w:sz w:val="30"/>
          <w:szCs w:val="30"/>
        </w:rPr>
      </w:pPr>
      <w:r>
        <w:rPr>
          <w:rFonts w:hint="eastAsia" w:ascii="仿宋" w:hAnsi="仿宋" w:eastAsia="仿宋" w:cs="仿宋"/>
          <w:sz w:val="30"/>
          <w:szCs w:val="30"/>
        </w:rPr>
        <w:t>（1）在本章程和评审规则基础上制定评审实施细则；</w:t>
      </w:r>
    </w:p>
    <w:p>
      <w:pPr>
        <w:spacing w:line="560" w:lineRule="exact"/>
        <w:ind w:firstLine="600" w:firstLineChars="200"/>
        <w:jc w:val="left"/>
        <w:outlineLvl w:val="2"/>
        <w:rPr>
          <w:rFonts w:ascii="仿宋" w:hAnsi="仿宋" w:eastAsia="仿宋" w:cs="仿宋"/>
          <w:sz w:val="30"/>
          <w:szCs w:val="30"/>
        </w:rPr>
      </w:pPr>
      <w:r>
        <w:rPr>
          <w:rFonts w:hint="eastAsia" w:ascii="仿宋" w:hAnsi="仿宋" w:eastAsia="仿宋" w:cs="仿宋"/>
          <w:sz w:val="30"/>
          <w:szCs w:val="30"/>
        </w:rPr>
        <w:t>（2）接受对参赛项目资格的质疑投诉并进行判定；</w:t>
      </w:r>
    </w:p>
    <w:p>
      <w:pPr>
        <w:spacing w:line="560" w:lineRule="exact"/>
        <w:ind w:firstLine="600" w:firstLineChars="200"/>
        <w:jc w:val="left"/>
        <w:outlineLvl w:val="2"/>
        <w:rPr>
          <w:rFonts w:hint="eastAsia" w:ascii="仿宋" w:hAnsi="仿宋" w:eastAsia="仿宋" w:cs="仿宋"/>
          <w:sz w:val="30"/>
          <w:szCs w:val="30"/>
        </w:rPr>
      </w:pPr>
      <w:r>
        <w:rPr>
          <w:rFonts w:hint="eastAsia" w:ascii="仿宋" w:hAnsi="仿宋" w:eastAsia="仿宋" w:cs="仿宋"/>
          <w:sz w:val="30"/>
          <w:szCs w:val="30"/>
        </w:rPr>
        <w:t>（3）审看参赛项目，与作者进行问辩；</w:t>
      </w:r>
    </w:p>
    <w:p>
      <w:pPr>
        <w:spacing w:line="560" w:lineRule="exact"/>
        <w:ind w:firstLine="600" w:firstLineChars="200"/>
        <w:jc w:val="left"/>
        <w:outlineLvl w:val="2"/>
        <w:rPr>
          <w:rFonts w:hint="default" w:ascii="仿宋" w:hAnsi="仿宋" w:eastAsia="仿宋" w:cs="仿宋"/>
          <w:sz w:val="30"/>
          <w:szCs w:val="30"/>
          <w:lang w:val="en-US" w:eastAsia="zh-CN"/>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4</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为现场比赛进行评分；</w:t>
      </w:r>
    </w:p>
    <w:p>
      <w:pPr>
        <w:spacing w:line="560" w:lineRule="exact"/>
        <w:ind w:firstLine="600" w:firstLineChars="200"/>
        <w:jc w:val="left"/>
        <w:outlineLvl w:val="2"/>
        <w:rPr>
          <w:rFonts w:ascii="仿宋" w:hAnsi="仿宋" w:eastAsia="仿宋" w:cs="仿宋"/>
          <w:sz w:val="30"/>
          <w:szCs w:val="30"/>
        </w:rPr>
      </w:pPr>
      <w:r>
        <w:rPr>
          <w:rFonts w:hint="eastAsia" w:ascii="仿宋" w:hAnsi="仿宋" w:eastAsia="仿宋" w:cs="仿宋"/>
          <w:sz w:val="30"/>
          <w:szCs w:val="30"/>
        </w:rPr>
        <w:t>（</w:t>
      </w:r>
      <w:r>
        <w:rPr>
          <w:rFonts w:hint="eastAsia" w:ascii="仿宋" w:hAnsi="仿宋" w:eastAsia="仿宋" w:cs="仿宋"/>
          <w:sz w:val="30"/>
          <w:szCs w:val="30"/>
          <w:lang w:val="en-US" w:eastAsia="zh-CN"/>
        </w:rPr>
        <w:t>5</w:t>
      </w:r>
      <w:r>
        <w:rPr>
          <w:rFonts w:hint="eastAsia" w:ascii="仿宋" w:hAnsi="仿宋" w:eastAsia="仿宋" w:cs="仿宋"/>
          <w:sz w:val="30"/>
          <w:szCs w:val="30"/>
        </w:rPr>
        <w:t>）确定参赛项目获奖等次。</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评审工作实行“主任委员负责制”，设主任委员1名，全面负责竞赛的评审管理工作并处理比赛中出现的争议问题。副主任委员</w:t>
      </w:r>
      <w:r>
        <w:rPr>
          <w:rFonts w:hint="eastAsia" w:ascii="仿宋" w:hAnsi="仿宋" w:eastAsia="仿宋" w:cs="仿宋"/>
          <w:sz w:val="30"/>
          <w:szCs w:val="30"/>
          <w:lang w:val="en-US" w:eastAsia="zh-CN"/>
        </w:rPr>
        <w:t>3</w:t>
      </w:r>
      <w:r>
        <w:rPr>
          <w:rFonts w:hint="eastAsia" w:ascii="仿宋" w:hAnsi="仿宋" w:eastAsia="仿宋" w:cs="仿宋"/>
          <w:sz w:val="30"/>
          <w:szCs w:val="30"/>
        </w:rPr>
        <w:t>名，分别负责</w:t>
      </w:r>
      <w:r>
        <w:rPr>
          <w:rFonts w:hint="eastAsia" w:ascii="仿宋" w:hAnsi="仿宋" w:eastAsia="仿宋" w:cs="仿宋"/>
          <w:sz w:val="30"/>
          <w:szCs w:val="30"/>
          <w:lang w:val="en-US" w:eastAsia="zh-CN"/>
        </w:rPr>
        <w:t>三</w:t>
      </w:r>
      <w:r>
        <w:rPr>
          <w:rFonts w:hint="eastAsia" w:ascii="仿宋" w:hAnsi="仿宋" w:eastAsia="仿宋" w:cs="仿宋"/>
          <w:sz w:val="30"/>
          <w:szCs w:val="30"/>
        </w:rPr>
        <w:t>个竞赛单元</w:t>
      </w:r>
      <w:r>
        <w:rPr>
          <w:rFonts w:hint="eastAsia" w:ascii="仿宋" w:hAnsi="仿宋" w:eastAsia="仿宋" w:cs="仿宋"/>
          <w:sz w:val="30"/>
          <w:szCs w:val="30"/>
          <w:lang w:eastAsia="zh-CN"/>
        </w:rPr>
        <w:t>的</w:t>
      </w:r>
      <w:r>
        <w:rPr>
          <w:rFonts w:hint="eastAsia" w:ascii="仿宋" w:hAnsi="仿宋" w:eastAsia="仿宋" w:cs="仿宋"/>
          <w:sz w:val="30"/>
          <w:szCs w:val="30"/>
        </w:rPr>
        <w:t>评审</w:t>
      </w:r>
      <w:r>
        <w:rPr>
          <w:rFonts w:hint="eastAsia" w:ascii="仿宋" w:hAnsi="仿宋" w:eastAsia="仿宋" w:cs="仿宋"/>
          <w:sz w:val="30"/>
          <w:szCs w:val="30"/>
          <w:lang w:val="en-US" w:eastAsia="zh-CN"/>
        </w:rPr>
        <w:t>/评比</w:t>
      </w:r>
      <w:r>
        <w:rPr>
          <w:rFonts w:hint="eastAsia" w:ascii="仿宋" w:hAnsi="仿宋" w:eastAsia="仿宋" w:cs="仿宋"/>
          <w:sz w:val="30"/>
          <w:szCs w:val="30"/>
        </w:rPr>
        <w:t>组织工作，同时配备评委若干名。</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评审委员会成员根据竞赛评定标准和规则独立为参赛作品</w:t>
      </w:r>
      <w:r>
        <w:rPr>
          <w:rFonts w:hint="eastAsia" w:ascii="仿宋" w:hAnsi="仿宋" w:eastAsia="仿宋" w:cs="仿宋"/>
          <w:sz w:val="30"/>
          <w:szCs w:val="30"/>
          <w:lang w:val="en-US" w:eastAsia="zh-CN"/>
        </w:rPr>
        <w:t>及现场比赛</w:t>
      </w:r>
      <w:r>
        <w:rPr>
          <w:rFonts w:hint="eastAsia" w:ascii="仿宋" w:hAnsi="仿宋" w:eastAsia="仿宋" w:cs="仿宋"/>
          <w:sz w:val="30"/>
          <w:szCs w:val="30"/>
        </w:rPr>
        <w:t>进行打分，所有作品评定完成后，在评审表规定位置签名。将评分表交评审工作人员。</w:t>
      </w:r>
    </w:p>
    <w:p>
      <w:pPr>
        <w:spacing w:line="560" w:lineRule="exact"/>
        <w:jc w:val="left"/>
        <w:outlineLvl w:val="1"/>
        <w:rPr>
          <w:rFonts w:ascii="仿宋" w:hAnsi="仿宋" w:eastAsia="仿宋" w:cs="仿宋"/>
          <w:b/>
          <w:bCs/>
          <w:sz w:val="30"/>
          <w:szCs w:val="30"/>
        </w:rPr>
      </w:pPr>
      <w:r>
        <w:rPr>
          <w:rFonts w:hint="eastAsia" w:ascii="仿宋" w:hAnsi="仿宋" w:eastAsia="仿宋" w:cs="仿宋"/>
          <w:b/>
          <w:bCs/>
          <w:sz w:val="30"/>
          <w:szCs w:val="30"/>
        </w:rPr>
        <w:t xml:space="preserve">    2监督仲裁组</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由组长1名，2至3名专家及主办单位各1名代表组成。监督仲裁组会议由组长负责召集。其职责如下：</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（1）授权赛项组织委员会秘书处在预审开始至终审决赛结束前接受参赛学校和学生、评委、社会各界人士对参赛作品</w:t>
      </w:r>
      <w:r>
        <w:rPr>
          <w:rFonts w:hint="eastAsia" w:ascii="仿宋" w:hAnsi="仿宋" w:eastAsia="仿宋" w:cs="仿宋"/>
          <w:sz w:val="30"/>
          <w:szCs w:val="30"/>
          <w:lang w:val="en-US" w:eastAsia="zh-CN"/>
        </w:rPr>
        <w:t>/现场比赛</w:t>
      </w:r>
      <w:r>
        <w:rPr>
          <w:rFonts w:hint="eastAsia" w:ascii="仿宋" w:hAnsi="仿宋" w:eastAsia="仿宋" w:cs="仿宋"/>
          <w:sz w:val="30"/>
          <w:szCs w:val="30"/>
        </w:rPr>
        <w:t>资格的质疑投诉；</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对于赛项一与赛项二，</w:t>
      </w:r>
      <w:r>
        <w:rPr>
          <w:rFonts w:hint="eastAsia" w:ascii="仿宋" w:hAnsi="仿宋" w:eastAsia="仿宋" w:cs="仿宋"/>
          <w:sz w:val="30"/>
          <w:szCs w:val="30"/>
        </w:rPr>
        <w:t>在终审决赛结束前，如出现被质疑投诉作品，监督仲裁组应召开会议，对被质疑投诉的参赛作品的作者及所属学校进行质询；</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（3）投票表决被质疑投诉作品</w:t>
      </w:r>
      <w:r>
        <w:rPr>
          <w:rFonts w:hint="eastAsia" w:ascii="仿宋" w:hAnsi="仿宋" w:eastAsia="仿宋" w:cs="仿宋"/>
          <w:sz w:val="30"/>
          <w:szCs w:val="30"/>
          <w:lang w:val="en-US" w:eastAsia="zh-CN"/>
        </w:rPr>
        <w:t>/现场比赛</w:t>
      </w:r>
      <w:r>
        <w:rPr>
          <w:rFonts w:hint="eastAsia" w:ascii="仿宋" w:hAnsi="仿宋" w:eastAsia="仿宋" w:cs="仿宋"/>
          <w:sz w:val="30"/>
          <w:szCs w:val="30"/>
        </w:rPr>
        <w:t>是否具备参赛资格；</w:t>
      </w:r>
    </w:p>
    <w:p>
      <w:pPr>
        <w:spacing w:line="56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4）大赛结束后，对获奖项目保留一个月的质疑投诉期。若收到投诉，监督仲裁组将展开调查。经调查，如确认该项目资格不符者，取消该项目获得的奖励，通报全国组织委员会，并视情节给予所在学校取消参赛资格或其他处罚。</w:t>
      </w:r>
    </w:p>
    <w:p>
      <w:pPr>
        <w:spacing w:line="560" w:lineRule="exact"/>
        <w:ind w:firstLine="600" w:firstLineChars="200"/>
        <w:jc w:val="left"/>
        <w:outlineLvl w:val="0"/>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九、成绩评定</w:t>
      </w:r>
    </w:p>
    <w:p>
      <w:pPr>
        <w:spacing w:line="560" w:lineRule="exact"/>
        <w:jc w:val="left"/>
        <w:outlineLvl w:val="1"/>
        <w:rPr>
          <w:rFonts w:ascii="楷体" w:hAnsi="楷体" w:eastAsia="楷体" w:cs="楷体"/>
          <w:sz w:val="30"/>
          <w:szCs w:val="30"/>
        </w:rPr>
      </w:pPr>
      <w:r>
        <w:rPr>
          <w:rFonts w:hint="eastAsia" w:ascii="楷体" w:hAnsi="楷体" w:eastAsia="楷体" w:cs="楷体"/>
          <w:sz w:val="30"/>
          <w:szCs w:val="30"/>
        </w:rPr>
        <w:t xml:space="preserve">    （一）评分细则</w:t>
      </w:r>
    </w:p>
    <w:p>
      <w:pPr>
        <w:spacing w:line="560" w:lineRule="exact"/>
        <w:ind w:firstLine="600"/>
        <w:jc w:val="left"/>
        <w:outlineLvl w:val="2"/>
        <w:rPr>
          <w:rFonts w:ascii="仿宋" w:hAnsi="仿宋" w:eastAsia="仿宋" w:cs="仿宋"/>
          <w:sz w:val="30"/>
          <w:szCs w:val="30"/>
        </w:rPr>
      </w:pPr>
      <w:r>
        <w:rPr>
          <w:rFonts w:hint="eastAsia" w:ascii="仿宋" w:hAnsi="仿宋" w:eastAsia="仿宋" w:cs="仿宋"/>
          <w:sz w:val="30"/>
          <w:szCs w:val="30"/>
        </w:rPr>
        <w:t>1.整星或平台部组件及载荷研制竞赛的评分</w:t>
      </w:r>
    </w:p>
    <w:p>
      <w:pPr>
        <w:spacing w:line="560" w:lineRule="exact"/>
        <w:ind w:firstLine="600"/>
        <w:jc w:val="left"/>
        <w:rPr>
          <w:rFonts w:ascii="仿宋" w:hAnsi="仿宋" w:eastAsia="仿宋" w:cs="仿宋"/>
          <w:sz w:val="30"/>
          <w:szCs w:val="30"/>
        </w:rPr>
      </w:pPr>
      <w:r>
        <w:rPr>
          <w:rFonts w:hint="eastAsia" w:ascii="仿宋" w:hAnsi="仿宋" w:eastAsia="仿宋" w:cs="仿宋"/>
          <w:sz w:val="30"/>
          <w:szCs w:val="30"/>
        </w:rPr>
        <w:t>竞赛评定分值满分为110分（含加分项10分），具体考察内容如下：</w:t>
      </w:r>
    </w:p>
    <w:p>
      <w:pPr>
        <w:numPr>
          <w:ilvl w:val="0"/>
          <w:numId w:val="7"/>
        </w:numPr>
        <w:spacing w:line="560" w:lineRule="exact"/>
        <w:ind w:firstLine="600"/>
        <w:jc w:val="left"/>
        <w:rPr>
          <w:rFonts w:ascii="仿宋" w:hAnsi="仿宋" w:eastAsia="仿宋" w:cs="仿宋"/>
          <w:sz w:val="30"/>
          <w:szCs w:val="30"/>
        </w:rPr>
      </w:pPr>
      <w:r>
        <w:rPr>
          <w:rFonts w:hint="eastAsia" w:ascii="仿宋" w:hAnsi="仿宋" w:eastAsia="仿宋" w:cs="仿宋"/>
          <w:sz w:val="30"/>
          <w:szCs w:val="30"/>
        </w:rPr>
        <w:t>需求分析及可行性论证的评定。包括任务及需求分析、总体设计方案、关键技术、分系统方案设计、研制进度等内容的考察。</w:t>
      </w:r>
    </w:p>
    <w:p>
      <w:pPr>
        <w:numPr>
          <w:ilvl w:val="0"/>
          <w:numId w:val="7"/>
        </w:numPr>
        <w:spacing w:line="560" w:lineRule="exact"/>
        <w:ind w:firstLine="600"/>
        <w:jc w:val="left"/>
        <w:rPr>
          <w:rFonts w:ascii="仿宋" w:hAnsi="仿宋" w:eastAsia="仿宋" w:cs="仿宋"/>
          <w:sz w:val="30"/>
          <w:szCs w:val="30"/>
        </w:rPr>
      </w:pPr>
      <w:r>
        <w:rPr>
          <w:rFonts w:hint="eastAsia" w:ascii="仿宋" w:hAnsi="仿宋" w:eastAsia="仿宋" w:cs="仿宋"/>
          <w:sz w:val="30"/>
          <w:szCs w:val="30"/>
        </w:rPr>
        <w:t>设计方案的评定。包括研制队伍分工、指标分析与分配、轨道方案设计（针对整星）、构型与布局设计、可靠性与安全性设计、CAD模装设计/实物模装、分系统接口设计、其他工程系统接口设计等内容的考察。</w:t>
      </w:r>
    </w:p>
    <w:p>
      <w:pPr>
        <w:numPr>
          <w:ilvl w:val="0"/>
          <w:numId w:val="7"/>
        </w:numPr>
        <w:spacing w:line="560" w:lineRule="exact"/>
        <w:ind w:firstLine="600"/>
        <w:jc w:val="left"/>
        <w:rPr>
          <w:rFonts w:ascii="仿宋" w:hAnsi="仿宋" w:eastAsia="仿宋" w:cs="仿宋"/>
          <w:sz w:val="30"/>
          <w:szCs w:val="30"/>
        </w:rPr>
      </w:pPr>
      <w:r>
        <w:rPr>
          <w:rFonts w:hint="eastAsia" w:ascii="仿宋" w:hAnsi="仿宋" w:eastAsia="仿宋" w:cs="仿宋"/>
          <w:sz w:val="30"/>
          <w:szCs w:val="30"/>
        </w:rPr>
        <w:t>整星或平台部组件及载荷实物的评定。包括整星或平台部组件及载荷实物或模拟件，以及电性能测试/电磁兼容性测试/热真空试验/振动试验/噪声试验/磁试验（可选）结果的考察。</w:t>
      </w:r>
    </w:p>
    <w:p>
      <w:pPr>
        <w:numPr>
          <w:ilvl w:val="0"/>
          <w:numId w:val="7"/>
        </w:numPr>
        <w:spacing w:line="560" w:lineRule="exact"/>
        <w:ind w:firstLine="600"/>
        <w:jc w:val="left"/>
        <w:rPr>
          <w:rFonts w:ascii="仿宋" w:hAnsi="仿宋" w:eastAsia="仿宋" w:cs="仿宋"/>
          <w:sz w:val="30"/>
          <w:szCs w:val="30"/>
        </w:rPr>
      </w:pPr>
      <w:r>
        <w:rPr>
          <w:rFonts w:hint="eastAsia" w:ascii="仿宋" w:hAnsi="仿宋" w:eastAsia="仿宋" w:cs="仿宋"/>
          <w:sz w:val="30"/>
          <w:szCs w:val="30"/>
        </w:rPr>
        <w:t>对生产工艺有革新、工作流程合理化有改进、对生产效率提高的建议等。</w:t>
      </w:r>
    </w:p>
    <w:p>
      <w:pPr>
        <w:spacing w:line="560" w:lineRule="exact"/>
        <w:ind w:firstLine="600"/>
        <w:jc w:val="left"/>
        <w:outlineLvl w:val="2"/>
      </w:pPr>
      <w:r>
        <w:rPr>
          <w:rFonts w:hint="eastAsia" w:ascii="仿宋" w:hAnsi="仿宋" w:eastAsia="仿宋" w:cs="仿宋"/>
          <w:sz w:val="30"/>
          <w:szCs w:val="30"/>
        </w:rPr>
        <w:t>2.卫星应用现场竞赛的评分</w:t>
      </w:r>
    </w:p>
    <w:p>
      <w:pPr>
        <w:spacing w:line="560" w:lineRule="exact"/>
        <w:ind w:firstLine="600"/>
        <w:jc w:val="left"/>
        <w:rPr>
          <w:rFonts w:ascii="仿宋" w:hAnsi="仿宋" w:eastAsia="仿宋" w:cs="仿宋"/>
          <w:sz w:val="30"/>
          <w:szCs w:val="30"/>
          <w:highlight w:val="none"/>
        </w:rPr>
      </w:pPr>
      <w:r>
        <w:rPr>
          <w:rFonts w:hint="eastAsia" w:ascii="仿宋" w:hAnsi="仿宋" w:eastAsia="仿宋" w:cs="仿宋"/>
          <w:sz w:val="30"/>
          <w:szCs w:val="30"/>
          <w:highlight w:val="none"/>
        </w:rPr>
        <w:t>竞赛评定总分 100 分，其中竞赛用时成绩 30 分，实操及成果质量 70 ，具体考察内容如下：</w:t>
      </w:r>
    </w:p>
    <w:p>
      <w:pPr>
        <w:pStyle w:val="12"/>
        <w:widowControl/>
        <w:numPr>
          <w:ilvl w:val="0"/>
          <w:numId w:val="8"/>
        </w:numPr>
        <w:ind w:left="0" w:firstLine="426" w:firstLineChars="0"/>
        <w:outlineLvl w:val="2"/>
        <w:rPr>
          <w:rFonts w:ascii="仿宋" w:hAnsi="仿宋" w:eastAsia="仿宋" w:cs="仿宋"/>
          <w:color w:val="000000"/>
          <w:kern w:val="0"/>
          <w:sz w:val="30"/>
          <w:szCs w:val="30"/>
        </w:rPr>
      </w:pPr>
      <w:r>
        <w:rPr>
          <w:rFonts w:hint="eastAsia" w:ascii="仿宋" w:hAnsi="仿宋" w:eastAsia="仿宋" w:cs="仿宋"/>
          <w:color w:val="000000"/>
          <w:kern w:val="0"/>
          <w:sz w:val="30"/>
          <w:szCs w:val="30"/>
        </w:rPr>
        <w:t>竞赛用时成绩评分标准（30分）：</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各队的作业速度得分</w:t>
      </w:r>
      <w:r>
        <w:rPr>
          <w:rFonts w:hint="eastAsia" w:ascii="仿宋" w:hAnsi="仿宋" w:eastAsia="仿宋" w:cs="仿宋"/>
          <w:position w:val="-12"/>
          <w:sz w:val="30"/>
          <w:szCs w:val="30"/>
        </w:rPr>
        <w:object>
          <v:shape id="_x0000_i1025" o:spt="75" type="#_x0000_t75" style="height:17.5pt;width:13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r>
        <w:rPr>
          <w:rFonts w:hint="eastAsia" w:ascii="仿宋" w:hAnsi="仿宋" w:eastAsia="仿宋" w:cs="仿宋"/>
          <w:sz w:val="30"/>
          <w:szCs w:val="30"/>
        </w:rPr>
        <w:t>计算公式为：</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drawing>
          <wp:inline distT="0" distB="0" distL="114300" distR="114300">
            <wp:extent cx="2114550" cy="523875"/>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114550" cy="523875"/>
                    </a:xfrm>
                    <a:prstGeom prst="rect">
                      <a:avLst/>
                    </a:prstGeom>
                    <a:noFill/>
                    <a:ln>
                      <a:noFill/>
                    </a:ln>
                  </pic:spPr>
                </pic:pic>
              </a:graphicData>
            </a:graphic>
          </wp:inline>
        </w:drawing>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式中：</w:t>
      </w:r>
      <w:r>
        <w:rPr>
          <w:rFonts w:hint="eastAsia" w:ascii="仿宋" w:hAnsi="仿宋" w:eastAsia="仿宋" w:cs="仿宋"/>
          <w:position w:val="-12"/>
          <w:sz w:val="30"/>
          <w:szCs w:val="30"/>
        </w:rPr>
        <w:object>
          <v:shape id="_x0000_i1026" o:spt="75" type="#_x0000_t75" style="height:17.5pt;width:11.5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r>
        <w:rPr>
          <w:rFonts w:hint="eastAsia" w:ascii="仿宋" w:hAnsi="仿宋" w:eastAsia="仿宋" w:cs="仿宋"/>
          <w:sz w:val="30"/>
          <w:szCs w:val="30"/>
        </w:rPr>
        <w:t xml:space="preserve"> 为所有参赛队中用时最少的竞赛时间。</w:t>
      </w:r>
    </w:p>
    <w:p>
      <w:pPr>
        <w:spacing w:line="360" w:lineRule="auto"/>
        <w:ind w:firstLine="600" w:firstLineChars="200"/>
        <w:rPr>
          <w:rFonts w:ascii="仿宋" w:hAnsi="仿宋" w:eastAsia="仿宋" w:cs="仿宋"/>
          <w:sz w:val="30"/>
          <w:szCs w:val="30"/>
        </w:rPr>
      </w:pPr>
      <w:r>
        <w:rPr>
          <w:rFonts w:hint="eastAsia" w:ascii="仿宋" w:hAnsi="仿宋" w:eastAsia="仿宋" w:cs="仿宋"/>
          <w:position w:val="-12"/>
          <w:sz w:val="30"/>
          <w:szCs w:val="30"/>
        </w:rPr>
        <w:object>
          <v:shape id="_x0000_i1027" o:spt="75" type="#_x0000_t75" style="height:17.5pt;width:13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r>
        <w:rPr>
          <w:rFonts w:hint="eastAsia" w:ascii="仿宋" w:hAnsi="仿宋" w:eastAsia="仿宋" w:cs="仿宋"/>
          <w:sz w:val="30"/>
          <w:szCs w:val="30"/>
        </w:rPr>
        <w:t>所有参赛队中不超过规定最大时长的队伍中用时最多的竞赛时间。</w:t>
      </w:r>
    </w:p>
    <w:p>
      <w:pPr>
        <w:pStyle w:val="12"/>
        <w:widowControl/>
        <w:ind w:left="426" w:firstLine="0" w:firstLineChars="0"/>
        <w:rPr>
          <w:rFonts w:ascii="仿宋" w:hAnsi="仿宋" w:eastAsia="仿宋" w:cs="仿宋"/>
          <w:sz w:val="30"/>
          <w:szCs w:val="30"/>
        </w:rPr>
      </w:pPr>
      <w:r>
        <w:rPr>
          <w:rFonts w:hint="eastAsia" w:ascii="仿宋" w:hAnsi="仿宋" w:eastAsia="仿宋" w:cs="仿宋"/>
          <w:position w:val="-12"/>
          <w:sz w:val="30"/>
          <w:szCs w:val="30"/>
        </w:rPr>
        <w:object>
          <v:shape id="_x0000_i1028" o:spt="75" type="#_x0000_t75" style="height:17.5pt;width:11.5pt;" o:ole="t" filled="f" o:preferrelative="t" stroked="f" coordsize="21600,21600">
            <v:path/>
            <v:fill on="f" focussize="0,0"/>
            <v:stroke on="f" joinstyle="miter"/>
            <v:imagedata r:id="rId19" o:title=""/>
            <o:lock v:ext="edit" aspectratio="t"/>
            <w10:wrap type="none"/>
            <w10:anchorlock/>
          </v:shape>
          <o:OLEObject Type="Embed" ProgID="Equation.DSMT4" ShapeID="_x0000_i1028" DrawAspect="Content" ObjectID="_1468075728" r:id="rId22">
            <o:LockedField>false</o:LockedField>
          </o:OLEObject>
        </w:object>
      </w:r>
      <w:r>
        <w:rPr>
          <w:rFonts w:hint="eastAsia" w:ascii="仿宋" w:hAnsi="仿宋" w:eastAsia="仿宋" w:cs="仿宋"/>
          <w:sz w:val="30"/>
          <w:szCs w:val="30"/>
        </w:rPr>
        <w:t>为各队的实际用时。</w:t>
      </w:r>
    </w:p>
    <w:p>
      <w:pPr>
        <w:pStyle w:val="12"/>
        <w:widowControl/>
        <w:numPr>
          <w:ilvl w:val="0"/>
          <w:numId w:val="8"/>
        </w:numPr>
        <w:ind w:left="0" w:firstLine="426" w:firstLineChars="0"/>
        <w:outlineLvl w:val="2"/>
        <w:rPr>
          <w:rFonts w:ascii="仿宋" w:hAnsi="仿宋" w:eastAsia="仿宋" w:cs="仿宋"/>
          <w:color w:val="000000"/>
          <w:kern w:val="0"/>
          <w:sz w:val="30"/>
          <w:szCs w:val="30"/>
        </w:rPr>
      </w:pPr>
      <w:r>
        <w:rPr>
          <w:rFonts w:hint="eastAsia" w:ascii="仿宋" w:hAnsi="仿宋" w:eastAsia="仿宋" w:cs="仿宋"/>
          <w:color w:val="000000"/>
          <w:kern w:val="0"/>
          <w:sz w:val="30"/>
          <w:szCs w:val="30"/>
        </w:rPr>
        <w:t>实操及成果质量成绩评分标准（70分）：</w:t>
      </w:r>
    </w:p>
    <w:p>
      <w:pPr>
        <w:snapToGrid w:val="0"/>
        <w:spacing w:line="560" w:lineRule="exact"/>
        <w:ind w:firstLine="600" w:firstLineChars="200"/>
        <w:rPr>
          <w:rFonts w:ascii="仿宋" w:hAnsi="仿宋" w:eastAsia="仿宋" w:cs="仿宋"/>
          <w:b/>
          <w:sz w:val="30"/>
          <w:szCs w:val="30"/>
        </w:rPr>
      </w:pPr>
      <w:r>
        <w:rPr>
          <w:rFonts w:hint="eastAsia" w:ascii="仿宋" w:hAnsi="仿宋" w:eastAsia="仿宋" w:cs="仿宋"/>
          <w:sz w:val="30"/>
          <w:szCs w:val="30"/>
        </w:rPr>
        <w:t>①工程放样野外操作过程评分，详见下表。</w:t>
      </w:r>
    </w:p>
    <w:p>
      <w:pPr>
        <w:tabs>
          <w:tab w:val="left" w:pos="0"/>
        </w:tabs>
        <w:spacing w:after="159" w:afterLines="50" w:line="560" w:lineRule="exact"/>
        <w:jc w:val="center"/>
        <w:rPr>
          <w:rFonts w:ascii="仿宋" w:hAnsi="仿宋" w:eastAsia="仿宋" w:cs="仿宋"/>
          <w:b/>
          <w:sz w:val="24"/>
        </w:rPr>
      </w:pPr>
      <w:r>
        <w:rPr>
          <w:rFonts w:hint="eastAsia" w:ascii="仿宋" w:hAnsi="仿宋" w:eastAsia="仿宋" w:cs="仿宋"/>
          <w:b/>
          <w:sz w:val="24"/>
        </w:rPr>
        <w:t>表 RTK工程放样过程情况记录表</w:t>
      </w:r>
    </w:p>
    <w:tbl>
      <w:tblPr>
        <w:tblStyle w:val="8"/>
        <w:tblW w:w="8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9"/>
        <w:gridCol w:w="1682"/>
        <w:gridCol w:w="3249"/>
        <w:gridCol w:w="1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widowControl/>
              <w:spacing w:line="360" w:lineRule="exact"/>
              <w:ind w:right="-42" w:rightChars="-20"/>
              <w:jc w:val="center"/>
              <w:rPr>
                <w:rFonts w:ascii="仿宋" w:hAnsi="仿宋" w:eastAsia="仿宋" w:cs="仿宋"/>
                <w:b/>
                <w:kern w:val="0"/>
                <w:sz w:val="24"/>
              </w:rPr>
            </w:pPr>
            <w:r>
              <w:rPr>
                <w:rFonts w:hint="eastAsia" w:ascii="仿宋" w:hAnsi="仿宋" w:eastAsia="仿宋" w:cs="仿宋"/>
                <w:b/>
                <w:kern w:val="0"/>
                <w:sz w:val="24"/>
              </w:rPr>
              <w:t>评测内容</w:t>
            </w:r>
          </w:p>
        </w:tc>
        <w:tc>
          <w:tcPr>
            <w:tcW w:w="3249" w:type="dxa"/>
            <w:tcBorders>
              <w:right w:val="single" w:color="auto" w:sz="4" w:space="0"/>
            </w:tcBorders>
            <w:vAlign w:val="center"/>
          </w:tcPr>
          <w:p>
            <w:pPr>
              <w:widowControl/>
              <w:spacing w:line="360" w:lineRule="exact"/>
              <w:ind w:right="-42" w:rightChars="-20"/>
              <w:jc w:val="center"/>
              <w:rPr>
                <w:rFonts w:ascii="仿宋" w:hAnsi="仿宋" w:eastAsia="仿宋" w:cs="仿宋"/>
                <w:b/>
                <w:kern w:val="0"/>
                <w:sz w:val="24"/>
              </w:rPr>
            </w:pPr>
            <w:r>
              <w:rPr>
                <w:rFonts w:hint="eastAsia" w:ascii="仿宋" w:hAnsi="仿宋" w:eastAsia="仿宋" w:cs="仿宋"/>
                <w:b/>
                <w:kern w:val="0"/>
                <w:sz w:val="24"/>
              </w:rPr>
              <w:t>评分标准</w:t>
            </w:r>
          </w:p>
        </w:tc>
        <w:tc>
          <w:tcPr>
            <w:tcW w:w="1366" w:type="dxa"/>
            <w:tcBorders>
              <w:left w:val="single" w:color="auto" w:sz="4" w:space="0"/>
              <w:right w:val="single" w:color="auto" w:sz="4" w:space="0"/>
            </w:tcBorders>
            <w:vAlign w:val="center"/>
          </w:tcPr>
          <w:p>
            <w:pPr>
              <w:widowControl/>
              <w:spacing w:line="360" w:lineRule="exact"/>
              <w:ind w:right="-42" w:rightChars="-20"/>
              <w:jc w:val="center"/>
              <w:rPr>
                <w:rFonts w:ascii="仿宋" w:hAnsi="仿宋" w:eastAsia="仿宋" w:cs="仿宋"/>
                <w:b/>
                <w:kern w:val="0"/>
                <w:sz w:val="24"/>
              </w:rPr>
            </w:pPr>
            <w:r>
              <w:rPr>
                <w:rFonts w:hint="eastAsia" w:ascii="仿宋" w:hAnsi="仿宋" w:eastAsia="仿宋" w:cs="仿宋"/>
                <w:b/>
                <w:kern w:val="0"/>
                <w:sz w:val="24"/>
              </w:rPr>
              <w:t>扣分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故意遮挡其他参赛队观测</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不听裁判劝阻</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取消资格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使用非赛会提供的设备</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违规</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取消资格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北斗RTK接收机</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摔掉落地</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取消资格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使用电话、对讲机等通讯工具</w:t>
            </w:r>
          </w:p>
        </w:tc>
        <w:tc>
          <w:tcPr>
            <w:tcW w:w="3249" w:type="dxa"/>
            <w:tcBorders>
              <w:right w:val="single" w:color="auto" w:sz="4" w:space="0"/>
            </w:tcBorders>
            <w:vAlign w:val="center"/>
          </w:tcPr>
          <w:p>
            <w:pPr>
              <w:spacing w:line="360" w:lineRule="exact"/>
              <w:jc w:val="center"/>
              <w:rPr>
                <w:rFonts w:ascii="仿宋" w:hAnsi="仿宋" w:eastAsia="仿宋" w:cs="仿宋"/>
                <w:sz w:val="24"/>
              </w:rPr>
            </w:pP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取消资格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highlight w:val="yellow"/>
              </w:rPr>
            </w:pPr>
            <w:r>
              <w:rPr>
                <w:rFonts w:hint="eastAsia" w:ascii="仿宋" w:hAnsi="仿宋" w:eastAsia="仿宋" w:cs="仿宋"/>
                <w:sz w:val="24"/>
              </w:rPr>
              <w:t>使用非赛会提供的草图纸</w:t>
            </w:r>
          </w:p>
        </w:tc>
        <w:tc>
          <w:tcPr>
            <w:tcW w:w="3249" w:type="dxa"/>
            <w:tcBorders>
              <w:right w:val="single" w:color="auto" w:sz="4" w:space="0"/>
            </w:tcBorders>
            <w:vAlign w:val="center"/>
          </w:tcPr>
          <w:p>
            <w:pPr>
              <w:spacing w:line="360" w:lineRule="exact"/>
              <w:jc w:val="center"/>
              <w:rPr>
                <w:rFonts w:ascii="仿宋" w:hAnsi="仿宋" w:eastAsia="仿宋" w:cs="仿宋"/>
                <w:sz w:val="24"/>
              </w:rPr>
            </w:pP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取消资格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指导教师及其他非参赛人员入场</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出现一次扣2分</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jc w:val="center"/>
              <w:rPr>
                <w:rFonts w:ascii="仿宋" w:hAnsi="仿宋" w:eastAsia="仿宋" w:cs="仿宋"/>
                <w:kern w:val="0"/>
                <w:sz w:val="24"/>
              </w:rPr>
            </w:pPr>
            <w:r>
              <w:rPr>
                <w:rFonts w:hint="eastAsia" w:ascii="仿宋" w:hAnsi="仿宋" w:eastAsia="仿宋" w:cs="仿宋"/>
                <w:kern w:val="0"/>
                <w:sz w:val="24"/>
              </w:rPr>
              <w:t>工程放样作业时跑步</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kern w:val="0"/>
                <w:sz w:val="24"/>
              </w:rPr>
              <w:t>跑一次扣1分</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681" w:type="dxa"/>
            <w:gridSpan w:val="2"/>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仪器设备不安全操作行为</w:t>
            </w:r>
          </w:p>
        </w:tc>
        <w:tc>
          <w:tcPr>
            <w:tcW w:w="324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kern w:val="0"/>
                <w:sz w:val="24"/>
              </w:rPr>
              <w:t>每一次扣2分</w:t>
            </w:r>
          </w:p>
        </w:tc>
        <w:tc>
          <w:tcPr>
            <w:tcW w:w="1366"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trPr>
        <w:tc>
          <w:tcPr>
            <w:tcW w:w="3681" w:type="dxa"/>
            <w:gridSpan w:val="2"/>
            <w:vAlign w:val="center"/>
          </w:tcPr>
          <w:p>
            <w:pPr>
              <w:spacing w:line="360" w:lineRule="exact"/>
              <w:jc w:val="center"/>
              <w:rPr>
                <w:rFonts w:ascii="仿宋" w:hAnsi="仿宋" w:eastAsia="仿宋" w:cs="仿宋"/>
                <w:sz w:val="24"/>
              </w:rPr>
            </w:pPr>
            <w:r>
              <w:rPr>
                <w:rFonts w:hint="eastAsia" w:ascii="仿宋" w:hAnsi="仿宋" w:eastAsia="仿宋" w:cs="仿宋"/>
                <w:sz w:val="24"/>
              </w:rPr>
              <w:t>其它特殊情况记录</w:t>
            </w:r>
          </w:p>
        </w:tc>
        <w:tc>
          <w:tcPr>
            <w:tcW w:w="4615" w:type="dxa"/>
            <w:gridSpan w:val="2"/>
            <w:tcBorders>
              <w:top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1999" w:type="dxa"/>
            <w:tcBorders>
              <w:right w:val="single" w:color="auto" w:sz="4" w:space="0"/>
            </w:tcBorders>
            <w:vAlign w:val="center"/>
          </w:tcPr>
          <w:p>
            <w:pPr>
              <w:spacing w:line="360" w:lineRule="exact"/>
              <w:jc w:val="center"/>
              <w:rPr>
                <w:rFonts w:ascii="仿宋" w:hAnsi="仿宋" w:eastAsia="仿宋" w:cs="仿宋"/>
                <w:sz w:val="24"/>
              </w:rPr>
            </w:pPr>
            <w:r>
              <w:rPr>
                <w:rFonts w:hint="eastAsia" w:ascii="仿宋" w:hAnsi="仿宋" w:eastAsia="仿宋" w:cs="仿宋"/>
                <w:sz w:val="24"/>
              </w:rPr>
              <w:t>合计扣分</w:t>
            </w:r>
          </w:p>
        </w:tc>
        <w:tc>
          <w:tcPr>
            <w:tcW w:w="6297" w:type="dxa"/>
            <w:gridSpan w:val="3"/>
            <w:tcBorders>
              <w:top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sz w:val="24"/>
              </w:rPr>
            </w:pPr>
          </w:p>
        </w:tc>
      </w:tr>
    </w:tbl>
    <w:p>
      <w:pPr>
        <w:tabs>
          <w:tab w:val="left" w:pos="0"/>
        </w:tabs>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注：测量过程扣分直接在总成绩中减。</w:t>
      </w:r>
    </w:p>
    <w:p>
      <w:pPr>
        <w:tabs>
          <w:tab w:val="left" w:pos="0"/>
        </w:tabs>
        <w:spacing w:line="560" w:lineRule="exact"/>
        <w:ind w:firstLine="600" w:firstLineChars="200"/>
        <w:rPr>
          <w:rFonts w:ascii="仿宋" w:hAnsi="仿宋" w:eastAsia="仿宋" w:cs="仿宋"/>
          <w:sz w:val="28"/>
          <w:szCs w:val="28"/>
        </w:rPr>
      </w:pPr>
      <w:r>
        <w:rPr>
          <w:rFonts w:hint="eastAsia" w:ascii="仿宋" w:hAnsi="仿宋" w:eastAsia="仿宋" w:cs="仿宋"/>
          <w:sz w:val="30"/>
          <w:szCs w:val="30"/>
        </w:rPr>
        <w:t>②工程放样成果质量成绩评分，详见下表。</w:t>
      </w:r>
    </w:p>
    <w:p>
      <w:pPr>
        <w:tabs>
          <w:tab w:val="left" w:pos="0"/>
        </w:tabs>
        <w:spacing w:after="159" w:afterLines="50" w:line="560" w:lineRule="exact"/>
        <w:jc w:val="center"/>
        <w:rPr>
          <w:rFonts w:ascii="仿宋" w:hAnsi="仿宋" w:eastAsia="仿宋" w:cs="仿宋"/>
          <w:b/>
          <w:bCs/>
          <w:sz w:val="24"/>
        </w:rPr>
      </w:pPr>
      <w:r>
        <w:rPr>
          <w:rFonts w:hint="eastAsia" w:ascii="仿宋" w:hAnsi="仿宋" w:eastAsia="仿宋" w:cs="仿宋"/>
          <w:b/>
          <w:sz w:val="24"/>
        </w:rPr>
        <w:t>表</w:t>
      </w:r>
      <w:bookmarkStart w:id="7" w:name="_GoBack"/>
      <w:bookmarkEnd w:id="7"/>
      <w:r>
        <w:rPr>
          <w:rFonts w:hint="eastAsia" w:ascii="仿宋" w:hAnsi="仿宋" w:eastAsia="仿宋" w:cs="仿宋"/>
          <w:b/>
          <w:sz w:val="24"/>
        </w:rPr>
        <w:t xml:space="preserve"> RTK放样成果质量成绩评定表</w:t>
      </w:r>
    </w:p>
    <w:tbl>
      <w:tblPr>
        <w:tblStyle w:val="8"/>
        <w:tblW w:w="8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5"/>
        <w:gridCol w:w="2554"/>
        <w:gridCol w:w="1560"/>
        <w:gridCol w:w="1752"/>
        <w:gridCol w:w="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1695" w:type="dxa"/>
            <w:vAlign w:val="center"/>
          </w:tcPr>
          <w:p>
            <w:pPr>
              <w:spacing w:line="400" w:lineRule="exact"/>
              <w:jc w:val="center"/>
              <w:rPr>
                <w:rFonts w:ascii="仿宋" w:hAnsi="仿宋" w:eastAsia="仿宋" w:cs="仿宋"/>
                <w:b/>
                <w:sz w:val="24"/>
              </w:rPr>
            </w:pPr>
            <w:r>
              <w:rPr>
                <w:rFonts w:hint="eastAsia" w:ascii="仿宋" w:hAnsi="仿宋" w:eastAsia="仿宋" w:cs="仿宋"/>
                <w:b/>
                <w:sz w:val="24"/>
              </w:rPr>
              <w:t>项目与分值</w:t>
            </w:r>
          </w:p>
        </w:tc>
        <w:tc>
          <w:tcPr>
            <w:tcW w:w="5866" w:type="dxa"/>
            <w:gridSpan w:val="3"/>
            <w:vAlign w:val="center"/>
          </w:tcPr>
          <w:p>
            <w:pPr>
              <w:spacing w:line="400" w:lineRule="exact"/>
              <w:jc w:val="center"/>
              <w:rPr>
                <w:rFonts w:ascii="仿宋" w:hAnsi="仿宋" w:eastAsia="仿宋" w:cs="仿宋"/>
                <w:b/>
                <w:sz w:val="24"/>
              </w:rPr>
            </w:pPr>
            <w:r>
              <w:rPr>
                <w:rFonts w:hint="eastAsia" w:ascii="仿宋" w:hAnsi="仿宋" w:eastAsia="仿宋" w:cs="仿宋"/>
                <w:b/>
                <w:sz w:val="24"/>
              </w:rPr>
              <w:t>评分标准</w:t>
            </w:r>
          </w:p>
        </w:tc>
        <w:tc>
          <w:tcPr>
            <w:tcW w:w="735" w:type="dxa"/>
            <w:tcBorders>
              <w:right w:val="single" w:color="auto" w:sz="4" w:space="0"/>
            </w:tcBorders>
            <w:vAlign w:val="center"/>
          </w:tcPr>
          <w:p>
            <w:pPr>
              <w:spacing w:line="400" w:lineRule="exact"/>
              <w:jc w:val="center"/>
              <w:rPr>
                <w:rFonts w:ascii="仿宋" w:hAnsi="仿宋" w:eastAsia="仿宋" w:cs="仿宋"/>
                <w:b/>
                <w:sz w:val="24"/>
              </w:rPr>
            </w:pPr>
            <w:r>
              <w:rPr>
                <w:rFonts w:hint="eastAsia" w:ascii="仿宋" w:hAnsi="仿宋" w:eastAsia="仿宋" w:cs="仿宋"/>
                <w:b/>
                <w:sz w:val="24"/>
              </w:rPr>
              <w:t>扣分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点位精度</w:t>
            </w:r>
          </w:p>
          <w:p>
            <w:pPr>
              <w:spacing w:line="400" w:lineRule="exact"/>
              <w:jc w:val="center"/>
              <w:rPr>
                <w:rFonts w:ascii="仿宋" w:hAnsi="仿宋" w:eastAsia="仿宋" w:cs="仿宋"/>
                <w:sz w:val="24"/>
              </w:rPr>
            </w:pPr>
            <w:r>
              <w:rPr>
                <w:rFonts w:hint="eastAsia" w:ascii="仿宋" w:hAnsi="仿宋" w:eastAsia="仿宋" w:cs="仿宋"/>
                <w:sz w:val="24"/>
              </w:rPr>
              <w:t>（20分）</w:t>
            </w:r>
          </w:p>
        </w:tc>
        <w:tc>
          <w:tcPr>
            <w:tcW w:w="5866" w:type="dxa"/>
            <w:gridSpan w:val="3"/>
            <w:vAlign w:val="center"/>
          </w:tcPr>
          <w:p>
            <w:pPr>
              <w:spacing w:line="400" w:lineRule="exact"/>
              <w:rPr>
                <w:rFonts w:ascii="仿宋" w:hAnsi="仿宋" w:eastAsia="仿宋" w:cs="仿宋"/>
                <w:sz w:val="24"/>
              </w:rPr>
            </w:pPr>
            <w:r>
              <w:rPr>
                <w:rFonts w:hint="eastAsia" w:ascii="仿宋" w:hAnsi="仿宋" w:eastAsia="仿宋" w:cs="仿宋"/>
                <w:sz w:val="24"/>
              </w:rPr>
              <w:t>要求误差小于0.02米。检查10处，每超限一处扣2分。</w:t>
            </w:r>
          </w:p>
        </w:tc>
        <w:tc>
          <w:tcPr>
            <w:tcW w:w="735" w:type="dxa"/>
            <w:tcBorders>
              <w:right w:val="single" w:color="auto" w:sz="4" w:space="0"/>
            </w:tcBorders>
            <w:vAlign w:val="center"/>
          </w:tcPr>
          <w:p>
            <w:pPr>
              <w:spacing w:line="400" w:lineRule="exact"/>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线放样精度</w:t>
            </w:r>
          </w:p>
          <w:p>
            <w:pPr>
              <w:spacing w:line="400" w:lineRule="exact"/>
              <w:jc w:val="center"/>
              <w:rPr>
                <w:rFonts w:ascii="仿宋" w:hAnsi="仿宋" w:eastAsia="仿宋" w:cs="仿宋"/>
                <w:sz w:val="24"/>
              </w:rPr>
            </w:pPr>
            <w:r>
              <w:rPr>
                <w:rFonts w:hint="eastAsia" w:ascii="仿宋" w:hAnsi="仿宋" w:eastAsia="仿宋" w:cs="仿宋"/>
                <w:sz w:val="24"/>
              </w:rPr>
              <w:t>（10分）</w:t>
            </w:r>
          </w:p>
        </w:tc>
        <w:tc>
          <w:tcPr>
            <w:tcW w:w="5866" w:type="dxa"/>
            <w:gridSpan w:val="3"/>
            <w:vAlign w:val="center"/>
          </w:tcPr>
          <w:p>
            <w:pPr>
              <w:spacing w:line="400" w:lineRule="exact"/>
              <w:rPr>
                <w:rFonts w:ascii="仿宋" w:hAnsi="仿宋" w:eastAsia="仿宋" w:cs="仿宋"/>
                <w:sz w:val="24"/>
              </w:rPr>
            </w:pPr>
            <w:r>
              <w:rPr>
                <w:rFonts w:hint="eastAsia" w:ascii="仿宋" w:hAnsi="仿宋" w:eastAsia="仿宋" w:cs="仿宋"/>
                <w:sz w:val="24"/>
              </w:rPr>
              <w:t>要求误差小于0.02米。检查5处，每超限一处扣2分。</w:t>
            </w:r>
          </w:p>
        </w:tc>
        <w:tc>
          <w:tcPr>
            <w:tcW w:w="735" w:type="dxa"/>
            <w:tcBorders>
              <w:right w:val="single" w:color="auto" w:sz="4" w:space="0"/>
            </w:tcBorders>
            <w:vAlign w:val="center"/>
          </w:tcPr>
          <w:p>
            <w:pPr>
              <w:spacing w:line="400" w:lineRule="exact"/>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CAD放样精度</w:t>
            </w:r>
          </w:p>
          <w:p>
            <w:pPr>
              <w:spacing w:line="400" w:lineRule="exact"/>
              <w:jc w:val="center"/>
              <w:rPr>
                <w:rFonts w:ascii="仿宋" w:hAnsi="仿宋" w:eastAsia="仿宋" w:cs="仿宋"/>
                <w:sz w:val="24"/>
              </w:rPr>
            </w:pPr>
            <w:r>
              <w:rPr>
                <w:rFonts w:hint="eastAsia" w:ascii="仿宋" w:hAnsi="仿宋" w:eastAsia="仿宋" w:cs="仿宋"/>
                <w:sz w:val="24"/>
              </w:rPr>
              <w:t>（10分）</w:t>
            </w:r>
          </w:p>
        </w:tc>
        <w:tc>
          <w:tcPr>
            <w:tcW w:w="5866" w:type="dxa"/>
            <w:gridSpan w:val="3"/>
            <w:vAlign w:val="center"/>
          </w:tcPr>
          <w:p>
            <w:pPr>
              <w:spacing w:line="400" w:lineRule="exact"/>
              <w:rPr>
                <w:rFonts w:ascii="仿宋" w:hAnsi="仿宋" w:eastAsia="仿宋" w:cs="仿宋"/>
                <w:sz w:val="24"/>
              </w:rPr>
            </w:pPr>
            <w:r>
              <w:rPr>
                <w:rFonts w:hint="eastAsia" w:ascii="仿宋" w:hAnsi="仿宋" w:eastAsia="仿宋" w:cs="仿宋"/>
                <w:sz w:val="24"/>
              </w:rPr>
              <w:t>要求误差小于0.02米。检查5处，每超限一处扣2分。</w:t>
            </w:r>
          </w:p>
        </w:tc>
        <w:tc>
          <w:tcPr>
            <w:tcW w:w="735" w:type="dxa"/>
            <w:tcBorders>
              <w:right w:val="single" w:color="auto" w:sz="4" w:space="0"/>
            </w:tcBorders>
            <w:vAlign w:val="center"/>
          </w:tcPr>
          <w:p>
            <w:pPr>
              <w:spacing w:line="400" w:lineRule="exact"/>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错误或违规</w:t>
            </w:r>
          </w:p>
          <w:p>
            <w:pPr>
              <w:spacing w:line="400" w:lineRule="exact"/>
              <w:jc w:val="center"/>
              <w:rPr>
                <w:rFonts w:ascii="仿宋" w:hAnsi="仿宋" w:eastAsia="仿宋" w:cs="仿宋"/>
                <w:sz w:val="24"/>
              </w:rPr>
            </w:pPr>
            <w:r>
              <w:rPr>
                <w:rFonts w:hint="eastAsia" w:ascii="仿宋" w:hAnsi="仿宋" w:eastAsia="仿宋" w:cs="仿宋"/>
                <w:sz w:val="24"/>
              </w:rPr>
              <w:t>（10分）</w:t>
            </w:r>
          </w:p>
        </w:tc>
        <w:tc>
          <w:tcPr>
            <w:tcW w:w="5866" w:type="dxa"/>
            <w:gridSpan w:val="3"/>
            <w:vAlign w:val="center"/>
          </w:tcPr>
          <w:p>
            <w:pPr>
              <w:spacing w:line="400" w:lineRule="exact"/>
              <w:rPr>
                <w:rFonts w:ascii="仿宋" w:hAnsi="仿宋" w:eastAsia="仿宋" w:cs="仿宋"/>
                <w:sz w:val="24"/>
              </w:rPr>
            </w:pPr>
            <w:r>
              <w:rPr>
                <w:rFonts w:hint="eastAsia" w:ascii="仿宋" w:hAnsi="仿宋" w:eastAsia="仿宋" w:cs="仿宋"/>
                <w:sz w:val="24"/>
              </w:rPr>
              <w:t>产品连接和使用正确，工程作业流程和操作符合规范要求。重大错误或违规直接扣10分；一般性错误或违规扣1-5分。</w:t>
            </w:r>
          </w:p>
        </w:tc>
        <w:tc>
          <w:tcPr>
            <w:tcW w:w="735" w:type="dxa"/>
            <w:tcBorders>
              <w:right w:val="single" w:color="auto" w:sz="4" w:space="0"/>
            </w:tcBorders>
            <w:vAlign w:val="center"/>
          </w:tcPr>
          <w:p>
            <w:pPr>
              <w:spacing w:line="400" w:lineRule="exact"/>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完整性</w:t>
            </w:r>
          </w:p>
          <w:p>
            <w:pPr>
              <w:spacing w:line="400" w:lineRule="exact"/>
              <w:jc w:val="center"/>
              <w:rPr>
                <w:rFonts w:ascii="仿宋" w:hAnsi="仿宋" w:eastAsia="仿宋" w:cs="仿宋"/>
                <w:sz w:val="24"/>
              </w:rPr>
            </w:pPr>
            <w:r>
              <w:rPr>
                <w:rFonts w:hint="eastAsia" w:ascii="仿宋" w:hAnsi="仿宋" w:eastAsia="仿宋" w:cs="仿宋"/>
                <w:sz w:val="24"/>
              </w:rPr>
              <w:t>（20分）</w:t>
            </w:r>
          </w:p>
        </w:tc>
        <w:tc>
          <w:tcPr>
            <w:tcW w:w="5866" w:type="dxa"/>
            <w:gridSpan w:val="3"/>
            <w:vAlign w:val="center"/>
          </w:tcPr>
          <w:p>
            <w:pPr>
              <w:spacing w:line="400" w:lineRule="exact"/>
              <w:rPr>
                <w:rFonts w:ascii="仿宋" w:hAnsi="仿宋" w:eastAsia="仿宋" w:cs="仿宋"/>
                <w:sz w:val="24"/>
              </w:rPr>
            </w:pPr>
            <w:r>
              <w:rPr>
                <w:rFonts w:hint="eastAsia" w:ascii="仿宋" w:hAnsi="仿宋" w:eastAsia="仿宋" w:cs="仿宋"/>
                <w:sz w:val="24"/>
              </w:rPr>
              <w:t>工程放样结果正确，主要放样数据漏测一项扣2分，次要放样数据漏测一项扣1分。</w:t>
            </w:r>
          </w:p>
        </w:tc>
        <w:tc>
          <w:tcPr>
            <w:tcW w:w="735" w:type="dxa"/>
            <w:tcBorders>
              <w:right w:val="single" w:color="auto" w:sz="4" w:space="0"/>
            </w:tcBorders>
            <w:vAlign w:val="center"/>
          </w:tcPr>
          <w:p>
            <w:pPr>
              <w:spacing w:line="400" w:lineRule="exact"/>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trPr>
        <w:tc>
          <w:tcPr>
            <w:tcW w:w="1695" w:type="dxa"/>
            <w:vAlign w:val="center"/>
          </w:tcPr>
          <w:p>
            <w:pPr>
              <w:spacing w:line="400" w:lineRule="exact"/>
              <w:jc w:val="center"/>
              <w:rPr>
                <w:rFonts w:ascii="仿宋" w:hAnsi="仿宋" w:eastAsia="仿宋" w:cs="仿宋"/>
                <w:sz w:val="24"/>
              </w:rPr>
            </w:pPr>
            <w:r>
              <w:rPr>
                <w:rFonts w:hint="eastAsia" w:ascii="仿宋" w:hAnsi="仿宋" w:eastAsia="仿宋" w:cs="仿宋"/>
                <w:sz w:val="24"/>
              </w:rPr>
              <w:t>合计扣分</w:t>
            </w:r>
          </w:p>
        </w:tc>
        <w:tc>
          <w:tcPr>
            <w:tcW w:w="2554" w:type="dxa"/>
            <w:tcBorders>
              <w:right w:val="single" w:color="auto" w:sz="4" w:space="0"/>
            </w:tcBorders>
            <w:vAlign w:val="center"/>
          </w:tcPr>
          <w:p>
            <w:pPr>
              <w:spacing w:line="400" w:lineRule="exact"/>
              <w:jc w:val="center"/>
              <w:rPr>
                <w:rFonts w:ascii="仿宋" w:hAnsi="仿宋" w:eastAsia="仿宋" w:cs="仿宋"/>
                <w:sz w:val="24"/>
              </w:rPr>
            </w:pPr>
          </w:p>
        </w:tc>
        <w:tc>
          <w:tcPr>
            <w:tcW w:w="1560" w:type="dxa"/>
            <w:tcBorders>
              <w:left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合计得分</w:t>
            </w:r>
          </w:p>
        </w:tc>
        <w:tc>
          <w:tcPr>
            <w:tcW w:w="2487" w:type="dxa"/>
            <w:gridSpan w:val="2"/>
            <w:tcBorders>
              <w:left w:val="single" w:color="auto" w:sz="4" w:space="0"/>
              <w:right w:val="single" w:color="auto" w:sz="4" w:space="0"/>
            </w:tcBorders>
            <w:vAlign w:val="center"/>
          </w:tcPr>
          <w:p>
            <w:pPr>
              <w:spacing w:line="400" w:lineRule="exact"/>
              <w:jc w:val="center"/>
              <w:rPr>
                <w:rFonts w:ascii="仿宋" w:hAnsi="仿宋" w:eastAsia="仿宋" w:cs="仿宋"/>
                <w:sz w:val="24"/>
              </w:rPr>
            </w:pPr>
          </w:p>
        </w:tc>
      </w:tr>
    </w:tbl>
    <w:p>
      <w:pPr>
        <w:pStyle w:val="12"/>
        <w:widowControl/>
        <w:ind w:left="426" w:firstLine="0" w:firstLineChars="0"/>
        <w:rPr>
          <w:rFonts w:ascii="仿宋" w:hAnsi="仿宋" w:eastAsia="仿宋" w:cs="仿宋"/>
          <w:sz w:val="30"/>
          <w:szCs w:val="30"/>
        </w:rPr>
      </w:pPr>
      <w:r>
        <w:rPr>
          <w:rFonts w:hint="eastAsia" w:ascii="仿宋" w:hAnsi="仿宋" w:eastAsia="仿宋" w:cs="仿宋"/>
          <w:sz w:val="30"/>
          <w:szCs w:val="30"/>
        </w:rPr>
        <w:t>注：各项扣分最高为设定值。</w:t>
      </w:r>
    </w:p>
    <w:p>
      <w:pPr>
        <w:spacing w:line="360" w:lineRule="auto"/>
        <w:ind w:firstLine="600" w:firstLineChars="200"/>
        <w:outlineLvl w:val="1"/>
        <w:rPr>
          <w:rFonts w:ascii="楷体" w:hAnsi="楷体" w:eastAsia="楷体" w:cs="楷体"/>
          <w:sz w:val="30"/>
          <w:szCs w:val="30"/>
        </w:rPr>
      </w:pPr>
      <w:r>
        <w:rPr>
          <w:rFonts w:hint="eastAsia" w:ascii="楷体" w:hAnsi="楷体" w:eastAsia="楷体" w:cs="楷体"/>
          <w:sz w:val="30"/>
          <w:szCs w:val="30"/>
        </w:rPr>
        <w:t>（二）评分办法</w:t>
      </w:r>
    </w:p>
    <w:p>
      <w:pPr>
        <w:spacing w:line="360" w:lineRule="auto"/>
        <w:ind w:firstLine="560"/>
        <w:rPr>
          <w:rFonts w:hint="eastAsia" w:ascii="仿宋" w:hAnsi="仿宋" w:eastAsia="仿宋" w:cs="仿宋"/>
          <w:sz w:val="30"/>
          <w:szCs w:val="30"/>
          <w:lang w:eastAsia="zh-CN"/>
        </w:rPr>
      </w:pPr>
      <w:r>
        <w:rPr>
          <w:rFonts w:hint="eastAsia" w:ascii="仿宋" w:hAnsi="仿宋" w:eastAsia="仿宋" w:cs="仿宋"/>
          <w:sz w:val="30"/>
          <w:szCs w:val="30"/>
        </w:rPr>
        <w:t>全国竞赛组委会秘书处对各院校报送的参赛项目进行资格审查，对于存在疑问的项目将退回申报校进行材料补充或说明</w:t>
      </w:r>
      <w:r>
        <w:rPr>
          <w:rFonts w:hint="eastAsia" w:ascii="仿宋" w:hAnsi="仿宋" w:eastAsia="仿宋" w:cs="仿宋"/>
          <w:sz w:val="30"/>
          <w:szCs w:val="30"/>
          <w:lang w:val="en-US" w:eastAsia="zh-CN"/>
        </w:rPr>
        <w:t>.</w:t>
      </w:r>
    </w:p>
    <w:p>
      <w:pPr>
        <w:spacing w:line="360" w:lineRule="auto"/>
        <w:ind w:firstLine="560"/>
        <w:rPr>
          <w:rFonts w:ascii="仿宋" w:hAnsi="仿宋" w:eastAsia="仿宋" w:cs="仿宋"/>
          <w:sz w:val="30"/>
          <w:szCs w:val="30"/>
        </w:rPr>
      </w:pPr>
      <w:r>
        <w:rPr>
          <w:rFonts w:hint="eastAsia" w:ascii="仿宋" w:hAnsi="仿宋" w:eastAsia="仿宋" w:cs="仿宋"/>
          <w:sz w:val="30"/>
          <w:szCs w:val="30"/>
        </w:rPr>
        <w:t>评审工作由竞赛评委会主持，遵从以下评审原则：</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1.竞赛评审委员会负责赛项成绩评定工作，设评委会主任委员1名，全面负责赛项的评审工作；设评委会副主任委员</w:t>
      </w:r>
      <w:r>
        <w:rPr>
          <w:rFonts w:hint="eastAsia" w:ascii="仿宋" w:hAnsi="仿宋" w:eastAsia="仿宋" w:cs="仿宋"/>
          <w:sz w:val="30"/>
          <w:szCs w:val="30"/>
          <w:lang w:val="en-US" w:eastAsia="zh-CN"/>
        </w:rPr>
        <w:t>3</w:t>
      </w:r>
      <w:r>
        <w:rPr>
          <w:rFonts w:hint="eastAsia" w:ascii="仿宋" w:hAnsi="仿宋" w:eastAsia="仿宋" w:cs="仿宋"/>
          <w:sz w:val="30"/>
          <w:szCs w:val="30"/>
        </w:rPr>
        <w:t>名，分别负责各赛项组的评审工作。</w:t>
      </w:r>
    </w:p>
    <w:p>
      <w:pPr>
        <w:spacing w:line="360" w:lineRule="auto"/>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2.</w:t>
      </w:r>
      <w:r>
        <w:rPr>
          <w:rFonts w:hint="eastAsia" w:ascii="仿宋" w:hAnsi="仿宋" w:eastAsia="仿宋" w:cs="仿宋"/>
          <w:sz w:val="30"/>
          <w:szCs w:val="30"/>
          <w:lang w:val="en-US" w:eastAsia="zh-CN"/>
        </w:rPr>
        <w:t>赛项一与赛项二</w:t>
      </w:r>
      <w:r>
        <w:rPr>
          <w:rFonts w:hint="eastAsia" w:ascii="仿宋" w:hAnsi="仿宋" w:eastAsia="仿宋" w:cs="仿宋"/>
          <w:sz w:val="30"/>
          <w:szCs w:val="30"/>
        </w:rPr>
        <w:t>参赛选手按照竞赛要求和技术要求提供参赛整星或平台部组件及载荷作品及相关技术文件。</w:t>
      </w:r>
      <w:r>
        <w:rPr>
          <w:rFonts w:hint="eastAsia" w:ascii="仿宋" w:hAnsi="仿宋" w:eastAsia="仿宋" w:cs="仿宋"/>
          <w:sz w:val="30"/>
          <w:szCs w:val="30"/>
          <w:lang w:val="en-US" w:eastAsia="zh-CN"/>
        </w:rPr>
        <w:t>赛项三参赛选手按要求进行现场比赛。</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3.竞赛评审委员会本着“公平、公正、公开、科学、规范、透明、无异议”的原则，根据赛项评分标准，对参赛整星或平台部组件及载荷作品及相关技术文件进行评价，</w:t>
      </w:r>
      <w:r>
        <w:rPr>
          <w:rFonts w:hint="eastAsia" w:ascii="仿宋" w:hAnsi="仿宋" w:eastAsia="仿宋" w:cs="仿宋"/>
          <w:sz w:val="30"/>
          <w:szCs w:val="30"/>
          <w:lang w:val="en-US" w:eastAsia="zh-CN"/>
        </w:rPr>
        <w:t>对现场比赛进行打分，</w:t>
      </w:r>
      <w:r>
        <w:rPr>
          <w:rFonts w:hint="eastAsia" w:ascii="仿宋" w:hAnsi="仿宋" w:eastAsia="仿宋" w:cs="仿宋"/>
          <w:sz w:val="30"/>
          <w:szCs w:val="30"/>
        </w:rPr>
        <w:t>并给出评定成绩。</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4.针对现有生产工艺革新、工作流程合理化改进、生产效率提高的建议等内容作品，评审中评委将视实现情况给予1%至10%加分。</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5.竞赛评审委员会负责评分，所有评分材料须由相应评分评委签字确认。</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6.竞赛奖项名次按比赛成绩由高到低排列，比赛成绩高的参赛队名次在前。</w:t>
      </w:r>
    </w:p>
    <w:p>
      <w:pPr>
        <w:ind w:firstLine="600" w:firstLineChars="200"/>
        <w:jc w:val="left"/>
        <w:outlineLvl w:val="0"/>
        <w:rPr>
          <w:rFonts w:ascii="黑体" w:hAnsi="黑体" w:eastAsia="黑体" w:cs="黑体"/>
          <w:sz w:val="30"/>
          <w:szCs w:val="30"/>
        </w:rPr>
      </w:pPr>
      <w:r>
        <w:rPr>
          <w:rFonts w:hint="eastAsia" w:ascii="黑体" w:hAnsi="黑体" w:eastAsia="黑体" w:cs="黑体"/>
          <w:sz w:val="30"/>
          <w:szCs w:val="30"/>
        </w:rPr>
        <w:t>十、奖项设定</w:t>
      </w:r>
    </w:p>
    <w:p>
      <w:pPr>
        <w:ind w:firstLine="560"/>
        <w:jc w:val="left"/>
        <w:outlineLvl w:val="1"/>
        <w:rPr>
          <w:rFonts w:ascii="楷体" w:hAnsi="楷体" w:eastAsia="楷体" w:cs="楷体"/>
          <w:sz w:val="30"/>
          <w:szCs w:val="30"/>
        </w:rPr>
      </w:pPr>
      <w:r>
        <w:rPr>
          <w:rFonts w:hint="eastAsia" w:ascii="楷体" w:hAnsi="楷体" w:eastAsia="楷体" w:cs="楷体"/>
          <w:sz w:val="30"/>
          <w:szCs w:val="30"/>
        </w:rPr>
        <w:t>（一）参赛选手奖励</w:t>
      </w:r>
    </w:p>
    <w:p>
      <w:pPr>
        <w:ind w:firstLine="560"/>
        <w:jc w:val="left"/>
        <w:rPr>
          <w:rFonts w:ascii="仿宋" w:hAnsi="仿宋" w:eastAsia="仿宋" w:cs="仿宋"/>
          <w:sz w:val="30"/>
          <w:szCs w:val="30"/>
        </w:rPr>
      </w:pPr>
      <w:r>
        <w:rPr>
          <w:rFonts w:hint="eastAsia" w:ascii="Arial Narrow" w:hAnsi="仿宋_GB2312" w:eastAsia="仿宋_GB2312" w:cs="仿宋_GB2312"/>
          <w:sz w:val="30"/>
          <w:szCs w:val="30"/>
          <w:lang w:val="en-US" w:eastAsia="zh-CN"/>
        </w:rPr>
        <w:t>各</w:t>
      </w:r>
      <w:r>
        <w:rPr>
          <w:rFonts w:ascii="Arial Narrow" w:hAnsi="仿宋_GB2312" w:eastAsia="仿宋_GB2312" w:cs="仿宋_GB2312"/>
          <w:sz w:val="30"/>
          <w:szCs w:val="30"/>
        </w:rPr>
        <w:t>赛项</w:t>
      </w:r>
      <w:r>
        <w:rPr>
          <w:rFonts w:hint="eastAsia" w:ascii="Arial Narrow" w:hAnsi="仿宋_GB2312" w:eastAsia="仿宋_GB2312" w:cs="仿宋_GB2312"/>
          <w:sz w:val="30"/>
          <w:szCs w:val="30"/>
          <w:lang w:val="en-US" w:eastAsia="zh-CN"/>
        </w:rPr>
        <w:t>及赛项内各小组</w:t>
      </w:r>
      <w:r>
        <w:rPr>
          <w:rFonts w:ascii="Arial Narrow" w:hAnsi="仿宋_GB2312" w:eastAsia="仿宋_GB2312" w:cs="仿宋_GB2312"/>
          <w:sz w:val="30"/>
          <w:szCs w:val="30"/>
        </w:rPr>
        <w:t>设团体一、二、三等奖。以赛项实际参赛队总数为基数，一、二、三等奖获奖比例分别为</w:t>
      </w:r>
      <w:r>
        <w:rPr>
          <w:rFonts w:ascii="Arial Narrow" w:hAnsi="Arial Narrow" w:eastAsia="仿宋_GB2312" w:cs="仿宋_GB2312"/>
          <w:sz w:val="30"/>
          <w:szCs w:val="30"/>
        </w:rPr>
        <w:t>10%</w:t>
      </w:r>
      <w:r>
        <w:rPr>
          <w:rFonts w:ascii="Arial Narrow" w:hAnsi="仿宋_GB2312" w:eastAsia="仿宋_GB2312" w:cs="仿宋_GB2312"/>
          <w:sz w:val="30"/>
          <w:szCs w:val="30"/>
        </w:rPr>
        <w:t>、</w:t>
      </w:r>
      <w:r>
        <w:rPr>
          <w:rFonts w:ascii="Arial Narrow" w:hAnsi="Arial Narrow" w:eastAsia="仿宋_GB2312" w:cs="仿宋_GB2312"/>
          <w:sz w:val="30"/>
          <w:szCs w:val="30"/>
        </w:rPr>
        <w:t>20%</w:t>
      </w:r>
      <w:r>
        <w:rPr>
          <w:rFonts w:ascii="Arial Narrow" w:hAnsi="仿宋_GB2312" w:eastAsia="仿宋_GB2312" w:cs="仿宋_GB2312"/>
          <w:sz w:val="30"/>
          <w:szCs w:val="30"/>
        </w:rPr>
        <w:t>、</w:t>
      </w:r>
      <w:r>
        <w:rPr>
          <w:rFonts w:ascii="Arial Narrow" w:hAnsi="Arial Narrow" w:eastAsia="仿宋_GB2312" w:cs="仿宋_GB2312"/>
          <w:sz w:val="30"/>
          <w:szCs w:val="30"/>
        </w:rPr>
        <w:t>30%</w:t>
      </w:r>
      <w:r>
        <w:rPr>
          <w:rFonts w:ascii="Arial Narrow" w:hAnsi="仿宋_GB2312" w:eastAsia="仿宋_GB2312" w:cs="仿宋_GB2312"/>
          <w:sz w:val="30"/>
          <w:szCs w:val="30"/>
        </w:rPr>
        <w:t>（小数点后四舍五入）；获一等奖参赛队的指导教师获</w:t>
      </w:r>
      <w:r>
        <w:rPr>
          <w:rFonts w:ascii="Arial Narrow" w:hAnsi="Arial Narrow" w:eastAsia="仿宋_GB2312" w:cs="仿宋_GB2312"/>
          <w:sz w:val="30"/>
          <w:szCs w:val="30"/>
        </w:rPr>
        <w:t>“</w:t>
      </w:r>
      <w:r>
        <w:rPr>
          <w:rFonts w:ascii="Arial Narrow" w:hAnsi="仿宋_GB2312" w:eastAsia="仿宋_GB2312" w:cs="仿宋_GB2312"/>
          <w:sz w:val="30"/>
          <w:szCs w:val="30"/>
        </w:rPr>
        <w:t>优秀指导教师奖</w:t>
      </w:r>
      <w:r>
        <w:rPr>
          <w:rFonts w:ascii="Arial Narrow" w:hAnsi="Arial Narrow" w:eastAsia="仿宋_GB2312" w:cs="仿宋_GB2312"/>
          <w:sz w:val="30"/>
          <w:szCs w:val="30"/>
        </w:rPr>
        <w:t>”</w:t>
      </w:r>
      <w:r>
        <w:rPr>
          <w:rFonts w:ascii="Arial Narrow" w:hAnsi="仿宋_GB2312" w:eastAsia="仿宋_GB2312" w:cs="仿宋_GB2312"/>
          <w:sz w:val="30"/>
          <w:szCs w:val="30"/>
        </w:rPr>
        <w:t>。</w:t>
      </w:r>
      <w:r>
        <w:rPr>
          <w:rFonts w:hint="eastAsia" w:ascii="仿宋" w:hAnsi="仿宋" w:eastAsia="仿宋" w:cs="仿宋"/>
          <w:sz w:val="30"/>
          <w:szCs w:val="30"/>
        </w:rPr>
        <w:t>各奖项将在高职（专科）和高职（本科）组内分别评出。</w:t>
      </w:r>
    </w:p>
    <w:p>
      <w:pPr>
        <w:ind w:firstLine="560"/>
        <w:jc w:val="left"/>
        <w:rPr>
          <w:rFonts w:ascii="仿宋" w:hAnsi="仿宋" w:eastAsia="仿宋" w:cs="仿宋"/>
          <w:sz w:val="30"/>
          <w:szCs w:val="30"/>
        </w:rPr>
      </w:pPr>
      <w:r>
        <w:rPr>
          <w:rFonts w:hint="eastAsia" w:ascii="仿宋" w:hAnsi="仿宋" w:eastAsia="仿宋" w:cs="仿宋"/>
          <w:sz w:val="30"/>
          <w:szCs w:val="30"/>
        </w:rPr>
        <w:t>获得整星竞赛</w:t>
      </w:r>
      <w:r>
        <w:rPr>
          <w:rFonts w:hint="eastAsia" w:ascii="仿宋" w:hAnsi="仿宋" w:eastAsia="仿宋" w:cs="仿宋"/>
          <w:sz w:val="30"/>
          <w:szCs w:val="30"/>
          <w:lang w:val="en-US" w:eastAsia="zh-CN"/>
        </w:rPr>
        <w:t>赛项</w:t>
      </w:r>
      <w:r>
        <w:rPr>
          <w:rFonts w:hint="eastAsia" w:ascii="仿宋" w:hAnsi="仿宋" w:eastAsia="仿宋" w:cs="仿宋"/>
          <w:sz w:val="30"/>
          <w:szCs w:val="30"/>
        </w:rPr>
        <w:t>前三名的获奖团队，其作品具有一定的创造性的构思方案，同时能够满足技术性能和指标的技术试验并且具有可实施性的条件下，在领域专家的指导下，进行正样星的研制投产、集成测试与大型试验以及在轨飞行方案讨论等，通过质量可靠性分析后，获奖的参赛选手研制的飞行器，有机会搭载天舟货运飞船进行发射，开展一系列的在轨应用工作，同时进行科学研究。</w:t>
      </w:r>
    </w:p>
    <w:p>
      <w:pPr>
        <w:ind w:firstLine="600" w:firstLineChars="200"/>
        <w:jc w:val="left"/>
        <w:outlineLvl w:val="1"/>
        <w:rPr>
          <w:rFonts w:ascii="楷体" w:hAnsi="楷体" w:eastAsia="楷体" w:cs="楷体"/>
          <w:sz w:val="30"/>
          <w:szCs w:val="30"/>
        </w:rPr>
      </w:pPr>
      <w:r>
        <w:rPr>
          <w:rFonts w:hint="eastAsia" w:ascii="楷体" w:hAnsi="楷体" w:eastAsia="楷体" w:cs="楷体"/>
          <w:sz w:val="30"/>
          <w:szCs w:val="30"/>
        </w:rPr>
        <w:t>（二）指导教师奖励</w:t>
      </w:r>
    </w:p>
    <w:p>
      <w:pPr>
        <w:jc w:val="left"/>
        <w:rPr>
          <w:rFonts w:hint="eastAsia" w:ascii="仿宋" w:hAnsi="仿宋" w:eastAsia="仿宋" w:cs="仿宋"/>
          <w:sz w:val="30"/>
          <w:szCs w:val="30"/>
          <w:lang w:eastAsia="zh-CN"/>
        </w:rPr>
      </w:pPr>
      <w:r>
        <w:rPr>
          <w:rFonts w:hint="eastAsia" w:ascii="仿宋" w:hAnsi="仿宋" w:eastAsia="仿宋" w:cs="仿宋"/>
          <w:sz w:val="30"/>
          <w:szCs w:val="30"/>
        </w:rPr>
        <w:t xml:space="preserve">    为鼓励更多的教师参与到学生的科学研究和工程实践中来，获得一等奖的参赛队的指导教师获“优秀指导教师奖”</w:t>
      </w:r>
      <w:r>
        <w:rPr>
          <w:rFonts w:hint="eastAsia" w:ascii="仿宋" w:hAnsi="仿宋" w:eastAsia="仿宋" w:cs="仿宋"/>
          <w:sz w:val="30"/>
          <w:szCs w:val="30"/>
          <w:lang w:eastAsia="zh-CN"/>
        </w:rPr>
        <w:t>。</w:t>
      </w:r>
    </w:p>
    <w:p>
      <w:pPr>
        <w:ind w:firstLine="600" w:firstLineChars="200"/>
        <w:jc w:val="both"/>
        <w:outlineLvl w:val="1"/>
        <w:rPr>
          <w:rFonts w:ascii="楷体" w:hAnsi="楷体" w:eastAsia="楷体" w:cs="楷体"/>
          <w:sz w:val="30"/>
          <w:szCs w:val="30"/>
        </w:rPr>
      </w:pPr>
      <w:r>
        <w:rPr>
          <w:rFonts w:hint="eastAsia" w:ascii="楷体" w:hAnsi="楷体" w:eastAsia="楷体" w:cs="楷体"/>
          <w:sz w:val="30"/>
          <w:szCs w:val="30"/>
        </w:rPr>
        <w:t>（三）参赛选手专项奖励</w:t>
      </w:r>
    </w:p>
    <w:p>
      <w:pPr>
        <w:ind w:firstLine="600"/>
        <w:jc w:val="left"/>
        <w:rPr>
          <w:rFonts w:ascii="仿宋" w:hAnsi="仿宋" w:eastAsia="仿宋" w:cs="仿宋"/>
          <w:sz w:val="30"/>
          <w:szCs w:val="30"/>
        </w:rPr>
      </w:pPr>
      <w:r>
        <w:rPr>
          <w:rFonts w:hint="eastAsia" w:ascii="仿宋" w:hAnsi="仿宋" w:eastAsia="仿宋" w:cs="仿宋"/>
          <w:sz w:val="30"/>
          <w:szCs w:val="30"/>
        </w:rPr>
        <w:t>竞赛可设立专项奖，由设奖单位独立评审或委托竞赛评审委员会按设奖单位要求评审。</w:t>
      </w:r>
    </w:p>
    <w:p>
      <w:pPr>
        <w:ind w:firstLine="600"/>
        <w:jc w:val="left"/>
        <w:outlineLvl w:val="1"/>
        <w:rPr>
          <w:rFonts w:ascii="楷体" w:hAnsi="楷体" w:eastAsia="楷体" w:cs="楷体"/>
          <w:sz w:val="30"/>
          <w:szCs w:val="30"/>
        </w:rPr>
      </w:pPr>
      <w:r>
        <w:rPr>
          <w:rFonts w:hint="eastAsia" w:ascii="楷体" w:hAnsi="楷体" w:eastAsia="楷体" w:cs="楷体"/>
          <w:sz w:val="30"/>
          <w:szCs w:val="30"/>
        </w:rPr>
        <w:t>（四）参赛单位奖励</w:t>
      </w:r>
    </w:p>
    <w:p>
      <w:pPr>
        <w:jc w:val="left"/>
        <w:rPr>
          <w:rFonts w:ascii="仿宋" w:hAnsi="仿宋" w:eastAsia="仿宋" w:cs="仿宋"/>
          <w:sz w:val="30"/>
          <w:szCs w:val="30"/>
        </w:rPr>
      </w:pPr>
      <w:r>
        <w:rPr>
          <w:rFonts w:hint="eastAsia" w:ascii="仿宋" w:hAnsi="仿宋" w:eastAsia="仿宋" w:cs="仿宋"/>
          <w:sz w:val="30"/>
          <w:szCs w:val="30"/>
        </w:rPr>
        <w:t xml:space="preserve">    竞赛设立优秀组织奖，对组织参赛积极踊跃、认真遵守和履行竞赛组委会的相关规定、取得优异成绩的学校给予奖励。</w:t>
      </w:r>
    </w:p>
    <w:p>
      <w:pPr>
        <w:ind w:firstLine="600" w:firstLineChars="200"/>
        <w:jc w:val="left"/>
        <w:outlineLvl w:val="0"/>
        <w:rPr>
          <w:rFonts w:ascii="黑体" w:hAnsi="黑体" w:eastAsia="黑体" w:cs="黑体"/>
          <w:sz w:val="30"/>
          <w:szCs w:val="30"/>
        </w:rPr>
      </w:pPr>
      <w:r>
        <w:rPr>
          <w:rFonts w:hint="eastAsia" w:ascii="黑体" w:hAnsi="黑体" w:eastAsia="黑体" w:cs="黑体"/>
          <w:sz w:val="30"/>
          <w:szCs w:val="30"/>
        </w:rPr>
        <w:t>十一、申诉与仲裁</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竞赛设立独立的监督仲裁组，接受竞赛申诉和仲裁。授权全国组织委员会秘书处在预审开始至终审决赛结束前接受参赛学校和学生、评委、社会各界人士对参赛资格的质疑投诉。全国组织委员会秘书处不受理匿名质疑投诉。</w:t>
      </w:r>
    </w:p>
    <w:p>
      <w:pPr>
        <w:ind w:firstLine="560" w:firstLineChars="200"/>
        <w:rPr>
          <w:rFonts w:ascii="仿宋" w:hAnsi="仿宋" w:eastAsia="仿宋"/>
          <w:sz w:val="28"/>
        </w:rPr>
      </w:pPr>
    </w:p>
    <w:sectPr>
      <w:footerReference r:id="rId3"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11B249"/>
    <w:multiLevelType w:val="singleLevel"/>
    <w:tmpl w:val="B111B249"/>
    <w:lvl w:ilvl="0" w:tentative="0">
      <w:start w:val="1"/>
      <w:numFmt w:val="decimal"/>
      <w:suff w:val="nothing"/>
      <w:lvlText w:val="%1、"/>
      <w:lvlJc w:val="left"/>
    </w:lvl>
  </w:abstractNum>
  <w:abstractNum w:abstractNumId="1">
    <w:nsid w:val="C19F8532"/>
    <w:multiLevelType w:val="singleLevel"/>
    <w:tmpl w:val="C19F8532"/>
    <w:lvl w:ilvl="0" w:tentative="0">
      <w:start w:val="1"/>
      <w:numFmt w:val="chineseCounting"/>
      <w:suff w:val="nothing"/>
      <w:lvlText w:val="（%1）"/>
      <w:lvlJc w:val="left"/>
      <w:rPr>
        <w:rFonts w:hint="eastAsia"/>
      </w:rPr>
    </w:lvl>
  </w:abstractNum>
  <w:abstractNum w:abstractNumId="2">
    <w:nsid w:val="CF8BA6E9"/>
    <w:multiLevelType w:val="singleLevel"/>
    <w:tmpl w:val="CF8BA6E9"/>
    <w:lvl w:ilvl="0" w:tentative="0">
      <w:start w:val="1"/>
      <w:numFmt w:val="decimalEnclosedCircleChinese"/>
      <w:suff w:val="nothing"/>
      <w:lvlText w:val="%1　"/>
      <w:lvlJc w:val="left"/>
      <w:pPr>
        <w:ind w:left="0" w:firstLine="400"/>
      </w:pPr>
      <w:rPr>
        <w:rFonts w:hint="eastAsia"/>
      </w:rPr>
    </w:lvl>
  </w:abstractNum>
  <w:abstractNum w:abstractNumId="3">
    <w:nsid w:val="E88A0A85"/>
    <w:multiLevelType w:val="singleLevel"/>
    <w:tmpl w:val="E88A0A85"/>
    <w:lvl w:ilvl="0" w:tentative="0">
      <w:start w:val="1"/>
      <w:numFmt w:val="decimalEnclosedCircleChinese"/>
      <w:suff w:val="nothing"/>
      <w:lvlText w:val="%1　"/>
      <w:lvlJc w:val="left"/>
      <w:pPr>
        <w:ind w:left="0" w:firstLine="400"/>
      </w:pPr>
      <w:rPr>
        <w:rFonts w:hint="eastAsia"/>
      </w:rPr>
    </w:lvl>
  </w:abstractNum>
  <w:abstractNum w:abstractNumId="4">
    <w:nsid w:val="0F11BAA4"/>
    <w:multiLevelType w:val="singleLevel"/>
    <w:tmpl w:val="0F11BAA4"/>
    <w:lvl w:ilvl="0" w:tentative="0">
      <w:start w:val="1"/>
      <w:numFmt w:val="decimalEnclosedCircleChinese"/>
      <w:suff w:val="nothing"/>
      <w:lvlText w:val="%1　"/>
      <w:lvlJc w:val="left"/>
      <w:pPr>
        <w:ind w:left="0" w:firstLine="400"/>
      </w:pPr>
      <w:rPr>
        <w:rFonts w:hint="eastAsia"/>
      </w:rPr>
    </w:lvl>
  </w:abstractNum>
  <w:abstractNum w:abstractNumId="5">
    <w:nsid w:val="16D72E19"/>
    <w:multiLevelType w:val="singleLevel"/>
    <w:tmpl w:val="16D72E19"/>
    <w:lvl w:ilvl="0" w:tentative="0">
      <w:start w:val="1"/>
      <w:numFmt w:val="decimal"/>
      <w:suff w:val="nothing"/>
      <w:lvlText w:val="（%1）"/>
      <w:lvlJc w:val="left"/>
    </w:lvl>
  </w:abstractNum>
  <w:abstractNum w:abstractNumId="6">
    <w:nsid w:val="549A4592"/>
    <w:multiLevelType w:val="singleLevel"/>
    <w:tmpl w:val="549A4592"/>
    <w:lvl w:ilvl="0" w:tentative="0">
      <w:start w:val="1"/>
      <w:numFmt w:val="decimalEnclosedCircleChinese"/>
      <w:suff w:val="nothing"/>
      <w:lvlText w:val="%1　"/>
      <w:lvlJc w:val="left"/>
      <w:pPr>
        <w:ind w:left="0" w:firstLine="400"/>
      </w:pPr>
      <w:rPr>
        <w:rFonts w:hint="eastAsia"/>
      </w:rPr>
    </w:lvl>
  </w:abstractNum>
  <w:abstractNum w:abstractNumId="7">
    <w:nsid w:val="75FF32F1"/>
    <w:multiLevelType w:val="multilevel"/>
    <w:tmpl w:val="75FF32F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3"/>
  </w:num>
  <w:num w:numId="4">
    <w:abstractNumId w:val="2"/>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zOTYzNGU0NmJmNzc0NTdhNjFkNzEwZDE1Mzc2ZTIifQ=="/>
  </w:docVars>
  <w:rsids>
    <w:rsidRoot w:val="00172A27"/>
    <w:rsid w:val="000075ED"/>
    <w:rsid w:val="00077D0E"/>
    <w:rsid w:val="00081DAD"/>
    <w:rsid w:val="00100F0E"/>
    <w:rsid w:val="00114BA1"/>
    <w:rsid w:val="00172A27"/>
    <w:rsid w:val="0025214B"/>
    <w:rsid w:val="004103CE"/>
    <w:rsid w:val="00422988"/>
    <w:rsid w:val="00470E87"/>
    <w:rsid w:val="004D74D1"/>
    <w:rsid w:val="005862B8"/>
    <w:rsid w:val="005A79EF"/>
    <w:rsid w:val="00726E32"/>
    <w:rsid w:val="007A180A"/>
    <w:rsid w:val="00827EF7"/>
    <w:rsid w:val="008A5420"/>
    <w:rsid w:val="008F5508"/>
    <w:rsid w:val="00901E6E"/>
    <w:rsid w:val="00913657"/>
    <w:rsid w:val="00965130"/>
    <w:rsid w:val="009A0BE0"/>
    <w:rsid w:val="009E1E91"/>
    <w:rsid w:val="00AD4641"/>
    <w:rsid w:val="00AE0147"/>
    <w:rsid w:val="00B26B5B"/>
    <w:rsid w:val="00B7311A"/>
    <w:rsid w:val="00B84D7A"/>
    <w:rsid w:val="00C44C47"/>
    <w:rsid w:val="00CC2295"/>
    <w:rsid w:val="00CF2E56"/>
    <w:rsid w:val="00D235CC"/>
    <w:rsid w:val="00D428E7"/>
    <w:rsid w:val="00DD3ADC"/>
    <w:rsid w:val="00EB110B"/>
    <w:rsid w:val="00F2502B"/>
    <w:rsid w:val="010C0502"/>
    <w:rsid w:val="0155356D"/>
    <w:rsid w:val="02003371"/>
    <w:rsid w:val="020815EE"/>
    <w:rsid w:val="0231787E"/>
    <w:rsid w:val="02831443"/>
    <w:rsid w:val="037F3DFF"/>
    <w:rsid w:val="03AC3ECE"/>
    <w:rsid w:val="03B45176"/>
    <w:rsid w:val="03D16C38"/>
    <w:rsid w:val="03E31D3B"/>
    <w:rsid w:val="0428363C"/>
    <w:rsid w:val="04291843"/>
    <w:rsid w:val="04684FF0"/>
    <w:rsid w:val="04A81501"/>
    <w:rsid w:val="05070E76"/>
    <w:rsid w:val="051B449A"/>
    <w:rsid w:val="05C8750C"/>
    <w:rsid w:val="05EE5ABB"/>
    <w:rsid w:val="065756F2"/>
    <w:rsid w:val="066E5B80"/>
    <w:rsid w:val="068725EA"/>
    <w:rsid w:val="06A502A9"/>
    <w:rsid w:val="06CD1BCA"/>
    <w:rsid w:val="07211C2C"/>
    <w:rsid w:val="07E41C41"/>
    <w:rsid w:val="08594A9C"/>
    <w:rsid w:val="089F4815"/>
    <w:rsid w:val="08C141D5"/>
    <w:rsid w:val="08D11E00"/>
    <w:rsid w:val="08DA36F5"/>
    <w:rsid w:val="09024D5C"/>
    <w:rsid w:val="0949540E"/>
    <w:rsid w:val="095F1BB0"/>
    <w:rsid w:val="096A746B"/>
    <w:rsid w:val="097F5A9E"/>
    <w:rsid w:val="09D77485"/>
    <w:rsid w:val="0A0B458E"/>
    <w:rsid w:val="0A0F4665"/>
    <w:rsid w:val="0A8D7B43"/>
    <w:rsid w:val="0AB34B2C"/>
    <w:rsid w:val="0B0608EB"/>
    <w:rsid w:val="0B661ED4"/>
    <w:rsid w:val="0B8212C7"/>
    <w:rsid w:val="0BEE0810"/>
    <w:rsid w:val="0C5828E9"/>
    <w:rsid w:val="0C637EA0"/>
    <w:rsid w:val="0C8A2C23"/>
    <w:rsid w:val="0C902DEB"/>
    <w:rsid w:val="0C91015B"/>
    <w:rsid w:val="0CB32CFA"/>
    <w:rsid w:val="0CEE1467"/>
    <w:rsid w:val="0CF71D9D"/>
    <w:rsid w:val="0D043742"/>
    <w:rsid w:val="0D0866A4"/>
    <w:rsid w:val="0D175150"/>
    <w:rsid w:val="0D2C7854"/>
    <w:rsid w:val="0D6D1DA3"/>
    <w:rsid w:val="0D962AC6"/>
    <w:rsid w:val="0DA3182A"/>
    <w:rsid w:val="0DD02025"/>
    <w:rsid w:val="0DD52EAB"/>
    <w:rsid w:val="0E121F80"/>
    <w:rsid w:val="0E307591"/>
    <w:rsid w:val="0E763968"/>
    <w:rsid w:val="0EA8171A"/>
    <w:rsid w:val="0EC51102"/>
    <w:rsid w:val="0F211033"/>
    <w:rsid w:val="0F3C1488"/>
    <w:rsid w:val="0F456E1B"/>
    <w:rsid w:val="0F5151DA"/>
    <w:rsid w:val="0F6F02ED"/>
    <w:rsid w:val="0F6F331B"/>
    <w:rsid w:val="0F781E5F"/>
    <w:rsid w:val="0F78287E"/>
    <w:rsid w:val="0FC2702F"/>
    <w:rsid w:val="100F5FFD"/>
    <w:rsid w:val="10366E15"/>
    <w:rsid w:val="10400608"/>
    <w:rsid w:val="105C6C62"/>
    <w:rsid w:val="10D610A8"/>
    <w:rsid w:val="10E07927"/>
    <w:rsid w:val="112847B9"/>
    <w:rsid w:val="12241CB9"/>
    <w:rsid w:val="126536D3"/>
    <w:rsid w:val="12777D20"/>
    <w:rsid w:val="12CF72A2"/>
    <w:rsid w:val="133127F0"/>
    <w:rsid w:val="13C74ECE"/>
    <w:rsid w:val="13DD4D7D"/>
    <w:rsid w:val="13FD722C"/>
    <w:rsid w:val="14283352"/>
    <w:rsid w:val="14CA3C44"/>
    <w:rsid w:val="14F34C18"/>
    <w:rsid w:val="1581449B"/>
    <w:rsid w:val="159A4E17"/>
    <w:rsid w:val="15A73483"/>
    <w:rsid w:val="15E26FB0"/>
    <w:rsid w:val="15FF77C1"/>
    <w:rsid w:val="166B0E51"/>
    <w:rsid w:val="16810BF3"/>
    <w:rsid w:val="175F193F"/>
    <w:rsid w:val="17925273"/>
    <w:rsid w:val="1795054B"/>
    <w:rsid w:val="17AC4CFB"/>
    <w:rsid w:val="17E44302"/>
    <w:rsid w:val="17E732F0"/>
    <w:rsid w:val="18600E4E"/>
    <w:rsid w:val="19131422"/>
    <w:rsid w:val="193F3AAF"/>
    <w:rsid w:val="199E552D"/>
    <w:rsid w:val="1A805535"/>
    <w:rsid w:val="1A8A350E"/>
    <w:rsid w:val="1B2A534E"/>
    <w:rsid w:val="1B923234"/>
    <w:rsid w:val="1BCD18DB"/>
    <w:rsid w:val="1BD305F9"/>
    <w:rsid w:val="1C3F6CC5"/>
    <w:rsid w:val="1C692F41"/>
    <w:rsid w:val="1CC52FB1"/>
    <w:rsid w:val="1CC828DA"/>
    <w:rsid w:val="1CD70719"/>
    <w:rsid w:val="1DD24230"/>
    <w:rsid w:val="1DDA477A"/>
    <w:rsid w:val="1DE64ACA"/>
    <w:rsid w:val="1DF428D0"/>
    <w:rsid w:val="1E062A6C"/>
    <w:rsid w:val="1E22138E"/>
    <w:rsid w:val="1E60015D"/>
    <w:rsid w:val="1EE61F3E"/>
    <w:rsid w:val="1F2E06F5"/>
    <w:rsid w:val="1F2E743E"/>
    <w:rsid w:val="1F7E2174"/>
    <w:rsid w:val="1FA2570E"/>
    <w:rsid w:val="1FFE1AA9"/>
    <w:rsid w:val="20BD35B9"/>
    <w:rsid w:val="20C05A18"/>
    <w:rsid w:val="20FA67FD"/>
    <w:rsid w:val="21283906"/>
    <w:rsid w:val="217D2091"/>
    <w:rsid w:val="21AF4E14"/>
    <w:rsid w:val="21C804CC"/>
    <w:rsid w:val="22150E28"/>
    <w:rsid w:val="221765D6"/>
    <w:rsid w:val="228A24DC"/>
    <w:rsid w:val="23207D1B"/>
    <w:rsid w:val="233049B8"/>
    <w:rsid w:val="233D7324"/>
    <w:rsid w:val="23942191"/>
    <w:rsid w:val="23A6328F"/>
    <w:rsid w:val="23D372E5"/>
    <w:rsid w:val="23EE68CD"/>
    <w:rsid w:val="241B46C4"/>
    <w:rsid w:val="24297915"/>
    <w:rsid w:val="243D25E4"/>
    <w:rsid w:val="246549ED"/>
    <w:rsid w:val="249D6F6F"/>
    <w:rsid w:val="25A20E5A"/>
    <w:rsid w:val="25C2371E"/>
    <w:rsid w:val="267D552F"/>
    <w:rsid w:val="26D12D16"/>
    <w:rsid w:val="26E66B2A"/>
    <w:rsid w:val="26F829F8"/>
    <w:rsid w:val="27233743"/>
    <w:rsid w:val="272A7879"/>
    <w:rsid w:val="272D0688"/>
    <w:rsid w:val="275709C7"/>
    <w:rsid w:val="27823809"/>
    <w:rsid w:val="27E812D7"/>
    <w:rsid w:val="2818728D"/>
    <w:rsid w:val="29360140"/>
    <w:rsid w:val="296A54E4"/>
    <w:rsid w:val="299109D5"/>
    <w:rsid w:val="2AA96338"/>
    <w:rsid w:val="2B094253"/>
    <w:rsid w:val="2B8520F4"/>
    <w:rsid w:val="2B9B26CC"/>
    <w:rsid w:val="2BEF6969"/>
    <w:rsid w:val="2C5D4EB5"/>
    <w:rsid w:val="2CBD0053"/>
    <w:rsid w:val="2CFB2835"/>
    <w:rsid w:val="2D1F15AA"/>
    <w:rsid w:val="2D6E78D6"/>
    <w:rsid w:val="2D710EE1"/>
    <w:rsid w:val="2DA44194"/>
    <w:rsid w:val="2DAE7648"/>
    <w:rsid w:val="2DB67A5B"/>
    <w:rsid w:val="2DE30563"/>
    <w:rsid w:val="2E077B1E"/>
    <w:rsid w:val="2EA07D60"/>
    <w:rsid w:val="2EAC477D"/>
    <w:rsid w:val="2EBA2B5D"/>
    <w:rsid w:val="2EEA6D86"/>
    <w:rsid w:val="2F55299D"/>
    <w:rsid w:val="2F951451"/>
    <w:rsid w:val="30095B69"/>
    <w:rsid w:val="301217A9"/>
    <w:rsid w:val="3020057B"/>
    <w:rsid w:val="30401BBE"/>
    <w:rsid w:val="307B1154"/>
    <w:rsid w:val="3096772E"/>
    <w:rsid w:val="30A125CB"/>
    <w:rsid w:val="30C30210"/>
    <w:rsid w:val="30EF29B0"/>
    <w:rsid w:val="31125B44"/>
    <w:rsid w:val="317651A9"/>
    <w:rsid w:val="31CA53D1"/>
    <w:rsid w:val="31F71DA7"/>
    <w:rsid w:val="328439C1"/>
    <w:rsid w:val="32E4433F"/>
    <w:rsid w:val="336A052B"/>
    <w:rsid w:val="336E3E0D"/>
    <w:rsid w:val="339B1F83"/>
    <w:rsid w:val="33A404C9"/>
    <w:rsid w:val="33F23020"/>
    <w:rsid w:val="342A7498"/>
    <w:rsid w:val="34377199"/>
    <w:rsid w:val="347B55D8"/>
    <w:rsid w:val="3491604D"/>
    <w:rsid w:val="34B619A2"/>
    <w:rsid w:val="35274E8D"/>
    <w:rsid w:val="352B7773"/>
    <w:rsid w:val="355D18A7"/>
    <w:rsid w:val="358A0861"/>
    <w:rsid w:val="35D15525"/>
    <w:rsid w:val="360C55D9"/>
    <w:rsid w:val="36DB453C"/>
    <w:rsid w:val="371557E5"/>
    <w:rsid w:val="371B39B9"/>
    <w:rsid w:val="374D2B86"/>
    <w:rsid w:val="375C1610"/>
    <w:rsid w:val="378940C1"/>
    <w:rsid w:val="37E54B4F"/>
    <w:rsid w:val="38717646"/>
    <w:rsid w:val="38901650"/>
    <w:rsid w:val="38932E4D"/>
    <w:rsid w:val="39124C33"/>
    <w:rsid w:val="39595854"/>
    <w:rsid w:val="398A3836"/>
    <w:rsid w:val="39B727AB"/>
    <w:rsid w:val="39D85244"/>
    <w:rsid w:val="3A493302"/>
    <w:rsid w:val="3A6A56B0"/>
    <w:rsid w:val="3B0507A2"/>
    <w:rsid w:val="3B21047B"/>
    <w:rsid w:val="3B8E0A7B"/>
    <w:rsid w:val="3BD824F2"/>
    <w:rsid w:val="3BF0437A"/>
    <w:rsid w:val="3BF8796A"/>
    <w:rsid w:val="3C1923A4"/>
    <w:rsid w:val="3C465F2D"/>
    <w:rsid w:val="3C6531FD"/>
    <w:rsid w:val="3D247335"/>
    <w:rsid w:val="3D515A95"/>
    <w:rsid w:val="3DA94EED"/>
    <w:rsid w:val="3E371F48"/>
    <w:rsid w:val="3E9F49F6"/>
    <w:rsid w:val="3EB104EA"/>
    <w:rsid w:val="3ED2643D"/>
    <w:rsid w:val="3F2D7F8E"/>
    <w:rsid w:val="3F527FC0"/>
    <w:rsid w:val="3F5E48CC"/>
    <w:rsid w:val="401F4015"/>
    <w:rsid w:val="40427306"/>
    <w:rsid w:val="40521492"/>
    <w:rsid w:val="40E00235"/>
    <w:rsid w:val="40FA529A"/>
    <w:rsid w:val="41284D95"/>
    <w:rsid w:val="413D1D85"/>
    <w:rsid w:val="41F32F1F"/>
    <w:rsid w:val="421732DD"/>
    <w:rsid w:val="421E4686"/>
    <w:rsid w:val="42551B22"/>
    <w:rsid w:val="425A4BDE"/>
    <w:rsid w:val="434447CA"/>
    <w:rsid w:val="43462B9C"/>
    <w:rsid w:val="43A40AF2"/>
    <w:rsid w:val="43A66FEC"/>
    <w:rsid w:val="43D67602"/>
    <w:rsid w:val="442464A1"/>
    <w:rsid w:val="444A396B"/>
    <w:rsid w:val="451E2ADB"/>
    <w:rsid w:val="45441308"/>
    <w:rsid w:val="45897218"/>
    <w:rsid w:val="45CB3C59"/>
    <w:rsid w:val="45F817E7"/>
    <w:rsid w:val="4649081F"/>
    <w:rsid w:val="466351D3"/>
    <w:rsid w:val="473F2A89"/>
    <w:rsid w:val="47630A5B"/>
    <w:rsid w:val="47713ED4"/>
    <w:rsid w:val="47845F38"/>
    <w:rsid w:val="47C82215"/>
    <w:rsid w:val="48863AF1"/>
    <w:rsid w:val="48E52229"/>
    <w:rsid w:val="4950371C"/>
    <w:rsid w:val="49705BC9"/>
    <w:rsid w:val="49711472"/>
    <w:rsid w:val="49997FA3"/>
    <w:rsid w:val="4A4D56D1"/>
    <w:rsid w:val="4AB41296"/>
    <w:rsid w:val="4AD85268"/>
    <w:rsid w:val="4C0B592E"/>
    <w:rsid w:val="4C2E1B6D"/>
    <w:rsid w:val="4CA644A3"/>
    <w:rsid w:val="4CA83447"/>
    <w:rsid w:val="4D00335A"/>
    <w:rsid w:val="4D190B77"/>
    <w:rsid w:val="4EF75100"/>
    <w:rsid w:val="4F240766"/>
    <w:rsid w:val="4FF8378C"/>
    <w:rsid w:val="501546D1"/>
    <w:rsid w:val="507F2BA3"/>
    <w:rsid w:val="50A06B9F"/>
    <w:rsid w:val="50CF09B9"/>
    <w:rsid w:val="515F5551"/>
    <w:rsid w:val="51EC0E74"/>
    <w:rsid w:val="521B1C42"/>
    <w:rsid w:val="52294517"/>
    <w:rsid w:val="52332E87"/>
    <w:rsid w:val="526E5926"/>
    <w:rsid w:val="528C369D"/>
    <w:rsid w:val="52B86812"/>
    <w:rsid w:val="52B95555"/>
    <w:rsid w:val="52CB0951"/>
    <w:rsid w:val="52F4015E"/>
    <w:rsid w:val="5311334C"/>
    <w:rsid w:val="535C38F8"/>
    <w:rsid w:val="53947BF9"/>
    <w:rsid w:val="53B32D4D"/>
    <w:rsid w:val="53BD4855"/>
    <w:rsid w:val="54417A5B"/>
    <w:rsid w:val="5468725B"/>
    <w:rsid w:val="547F700D"/>
    <w:rsid w:val="54B323E3"/>
    <w:rsid w:val="54D52B28"/>
    <w:rsid w:val="5551397B"/>
    <w:rsid w:val="55812AF4"/>
    <w:rsid w:val="55C369F8"/>
    <w:rsid w:val="56090869"/>
    <w:rsid w:val="56461311"/>
    <w:rsid w:val="564B6C73"/>
    <w:rsid w:val="56570B66"/>
    <w:rsid w:val="565B5EBA"/>
    <w:rsid w:val="56894BA2"/>
    <w:rsid w:val="5720140E"/>
    <w:rsid w:val="572A61E7"/>
    <w:rsid w:val="576309D2"/>
    <w:rsid w:val="578D3751"/>
    <w:rsid w:val="57A81D09"/>
    <w:rsid w:val="57BD5943"/>
    <w:rsid w:val="58102546"/>
    <w:rsid w:val="5818245E"/>
    <w:rsid w:val="58715D05"/>
    <w:rsid w:val="58886838"/>
    <w:rsid w:val="58B24661"/>
    <w:rsid w:val="58F4245E"/>
    <w:rsid w:val="59021B53"/>
    <w:rsid w:val="592726D7"/>
    <w:rsid w:val="59BE496C"/>
    <w:rsid w:val="59D055DF"/>
    <w:rsid w:val="5A6270FA"/>
    <w:rsid w:val="5A6A0D01"/>
    <w:rsid w:val="5AB7118B"/>
    <w:rsid w:val="5AC365AB"/>
    <w:rsid w:val="5ACB2D56"/>
    <w:rsid w:val="5AD3495A"/>
    <w:rsid w:val="5AEA6509"/>
    <w:rsid w:val="5AEF0C11"/>
    <w:rsid w:val="5B1469F6"/>
    <w:rsid w:val="5B1A309E"/>
    <w:rsid w:val="5B595FD3"/>
    <w:rsid w:val="5B5C4C20"/>
    <w:rsid w:val="5B6D1708"/>
    <w:rsid w:val="5B8A44FB"/>
    <w:rsid w:val="5BDB3F1F"/>
    <w:rsid w:val="5BE65919"/>
    <w:rsid w:val="5CF630E6"/>
    <w:rsid w:val="5D6E13E5"/>
    <w:rsid w:val="5EAF33DA"/>
    <w:rsid w:val="5EC32C52"/>
    <w:rsid w:val="5EFB5B13"/>
    <w:rsid w:val="5F173C65"/>
    <w:rsid w:val="5F193886"/>
    <w:rsid w:val="5F582FE4"/>
    <w:rsid w:val="5F6E4DDB"/>
    <w:rsid w:val="5FA35D4C"/>
    <w:rsid w:val="5FC77A64"/>
    <w:rsid w:val="5FDA19A2"/>
    <w:rsid w:val="5FFB108D"/>
    <w:rsid w:val="60EF0FC5"/>
    <w:rsid w:val="61AC071D"/>
    <w:rsid w:val="61D43C83"/>
    <w:rsid w:val="61F868D2"/>
    <w:rsid w:val="6269011F"/>
    <w:rsid w:val="627F31CA"/>
    <w:rsid w:val="62864468"/>
    <w:rsid w:val="62B22E4E"/>
    <w:rsid w:val="63256354"/>
    <w:rsid w:val="632E41BE"/>
    <w:rsid w:val="63DE0715"/>
    <w:rsid w:val="63E65D3F"/>
    <w:rsid w:val="63FF1C36"/>
    <w:rsid w:val="64194F54"/>
    <w:rsid w:val="64403DBF"/>
    <w:rsid w:val="64487BFE"/>
    <w:rsid w:val="645E5363"/>
    <w:rsid w:val="64B96D77"/>
    <w:rsid w:val="64DE1F5C"/>
    <w:rsid w:val="657C61A3"/>
    <w:rsid w:val="65D514CC"/>
    <w:rsid w:val="662D1802"/>
    <w:rsid w:val="667A675F"/>
    <w:rsid w:val="67813A2D"/>
    <w:rsid w:val="67B35D29"/>
    <w:rsid w:val="67B56437"/>
    <w:rsid w:val="67E85BD4"/>
    <w:rsid w:val="68031A77"/>
    <w:rsid w:val="68183D40"/>
    <w:rsid w:val="681C7EBE"/>
    <w:rsid w:val="6867438E"/>
    <w:rsid w:val="68746347"/>
    <w:rsid w:val="68ED7183"/>
    <w:rsid w:val="68F46A5C"/>
    <w:rsid w:val="692F585A"/>
    <w:rsid w:val="69B207E8"/>
    <w:rsid w:val="69CC6B23"/>
    <w:rsid w:val="6A2B1B85"/>
    <w:rsid w:val="6A310610"/>
    <w:rsid w:val="6A4C7C6F"/>
    <w:rsid w:val="6A5B7F5D"/>
    <w:rsid w:val="6AF1043C"/>
    <w:rsid w:val="6B605DC5"/>
    <w:rsid w:val="6C2E5B94"/>
    <w:rsid w:val="6C574301"/>
    <w:rsid w:val="6C9D2F3A"/>
    <w:rsid w:val="6C9E6866"/>
    <w:rsid w:val="6CC268D7"/>
    <w:rsid w:val="6CF37237"/>
    <w:rsid w:val="6D1433D0"/>
    <w:rsid w:val="6D166955"/>
    <w:rsid w:val="6D6F6193"/>
    <w:rsid w:val="6D842237"/>
    <w:rsid w:val="6D8E69D8"/>
    <w:rsid w:val="6E466478"/>
    <w:rsid w:val="6E832786"/>
    <w:rsid w:val="6EE500C5"/>
    <w:rsid w:val="6EE73BA2"/>
    <w:rsid w:val="6F3603A6"/>
    <w:rsid w:val="6F440D99"/>
    <w:rsid w:val="6F8D6980"/>
    <w:rsid w:val="6FFC7D42"/>
    <w:rsid w:val="7016379A"/>
    <w:rsid w:val="707830AD"/>
    <w:rsid w:val="70C25205"/>
    <w:rsid w:val="70D5225E"/>
    <w:rsid w:val="70E9337E"/>
    <w:rsid w:val="71263B18"/>
    <w:rsid w:val="717D0000"/>
    <w:rsid w:val="71C55F9A"/>
    <w:rsid w:val="71FC0B8E"/>
    <w:rsid w:val="72152F5B"/>
    <w:rsid w:val="723D7CF8"/>
    <w:rsid w:val="724B6A51"/>
    <w:rsid w:val="724E3DEA"/>
    <w:rsid w:val="72714687"/>
    <w:rsid w:val="72BE2A07"/>
    <w:rsid w:val="730C60BF"/>
    <w:rsid w:val="73150783"/>
    <w:rsid w:val="731E786A"/>
    <w:rsid w:val="7376385C"/>
    <w:rsid w:val="737F54B5"/>
    <w:rsid w:val="73B05B8D"/>
    <w:rsid w:val="73F022F7"/>
    <w:rsid w:val="749259CE"/>
    <w:rsid w:val="74AF50D5"/>
    <w:rsid w:val="75524EC4"/>
    <w:rsid w:val="76FD7CDF"/>
    <w:rsid w:val="76FE5510"/>
    <w:rsid w:val="77B0627D"/>
    <w:rsid w:val="77B152FB"/>
    <w:rsid w:val="77F70D25"/>
    <w:rsid w:val="78260D0D"/>
    <w:rsid w:val="78484DD0"/>
    <w:rsid w:val="784C27CE"/>
    <w:rsid w:val="785A76A5"/>
    <w:rsid w:val="78B95170"/>
    <w:rsid w:val="78FE3596"/>
    <w:rsid w:val="79403E7E"/>
    <w:rsid w:val="795B6099"/>
    <w:rsid w:val="7A024B33"/>
    <w:rsid w:val="7A125EB3"/>
    <w:rsid w:val="7A840047"/>
    <w:rsid w:val="7AC930B5"/>
    <w:rsid w:val="7AF67D0C"/>
    <w:rsid w:val="7B3502B2"/>
    <w:rsid w:val="7B6F0D88"/>
    <w:rsid w:val="7B7B483F"/>
    <w:rsid w:val="7B9307B7"/>
    <w:rsid w:val="7BA1031B"/>
    <w:rsid w:val="7BB44AD0"/>
    <w:rsid w:val="7BD05053"/>
    <w:rsid w:val="7CBD6499"/>
    <w:rsid w:val="7CDB5AD4"/>
    <w:rsid w:val="7D6A4E7C"/>
    <w:rsid w:val="7DC32741"/>
    <w:rsid w:val="7E557E84"/>
    <w:rsid w:val="7EAF23D3"/>
    <w:rsid w:val="7EED682F"/>
    <w:rsid w:val="7EF664CB"/>
    <w:rsid w:val="7EFF1502"/>
    <w:rsid w:val="7F2D7CEE"/>
    <w:rsid w:val="7F337CBE"/>
    <w:rsid w:val="7F542678"/>
    <w:rsid w:val="7FC655C4"/>
    <w:rsid w:val="B76FE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ody Text First Indent 2"/>
    <w:basedOn w:val="1"/>
    <w:qFormat/>
    <w:uiPriority w:val="0"/>
    <w:pPr>
      <w:ind w:firstLine="200" w:firstLineChars="200"/>
      <w:textAlignment w:val="center"/>
    </w:pPr>
    <w:rPr>
      <w:rFonts w:ascii="Times New Roman" w:hAnsi="Times New Roman"/>
      <w:kern w:val="0"/>
      <w:sz w:val="24"/>
      <w:szCs w:val="24"/>
    </w:rPr>
  </w:style>
  <w:style w:type="paragraph" w:styleId="3">
    <w:name w:val="caption"/>
    <w:basedOn w:val="1"/>
    <w:next w:val="1"/>
    <w:qFormat/>
    <w:uiPriority w:val="99"/>
    <w:rPr>
      <w:rFonts w:ascii="Cambria" w:hAnsi="Cambria" w:eastAsia="黑体" w:cs="Times New Roman"/>
      <w:sz w:val="20"/>
      <w:szCs w:val="20"/>
    </w:rPr>
  </w:style>
  <w:style w:type="paragraph" w:styleId="4">
    <w:name w:val="annotation text"/>
    <w:basedOn w:val="1"/>
    <w:qFormat/>
    <w:uiPriority w:val="0"/>
    <w:pPr>
      <w:jc w:val="left"/>
    </w:pPr>
  </w:style>
  <w:style w:type="paragraph" w:styleId="5">
    <w:name w:val="Body Text"/>
    <w:basedOn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annotation reference"/>
    <w:basedOn w:val="10"/>
    <w:uiPriority w:val="0"/>
    <w:rPr>
      <w:sz w:val="21"/>
      <w:szCs w:val="21"/>
    </w:rPr>
  </w:style>
  <w:style w:type="paragraph" w:customStyle="1" w:styleId="12">
    <w:name w:val="列表段落1"/>
    <w:basedOn w:val="1"/>
    <w:qFormat/>
    <w:uiPriority w:val="34"/>
    <w:pPr>
      <w:ind w:firstLine="420" w:firstLineChars="200"/>
    </w:pPr>
  </w:style>
  <w:style w:type="paragraph" w:customStyle="1" w:styleId="13">
    <w:name w:val="qowt-stl-37"/>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
    <w:name w:val="Revision"/>
    <w:hidden/>
    <w:semiHidden/>
    <w:uiPriority w:val="99"/>
    <w:rPr>
      <w:rFonts w:asciiTheme="minorHAnsi" w:hAnsiTheme="minorHAnsi" w:eastAsiaTheme="minorEastAsia" w:cstheme="minorBidi"/>
      <w:kern w:val="2"/>
      <w:sz w:val="21"/>
      <w:szCs w:val="24"/>
      <w:lang w:val="en-US" w:eastAsia="zh-CN" w:bidi="ar-SA"/>
    </w:rPr>
  </w:style>
  <w:style w:type="paragraph" w:styleId="15">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14.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2.bin"/><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oleObject" Target="embeddings/oleObject1.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1827</Words>
  <Characters>10418</Characters>
  <Lines>86</Lines>
  <Paragraphs>24</Paragraphs>
  <TotalTime>17</TotalTime>
  <ScaleCrop>false</ScaleCrop>
  <LinksUpToDate>false</LinksUpToDate>
  <CharactersWithSpaces>12221</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2022-10-10T05:38:00Z</dcterms:created>
  <dc:creator>M433</dc:creator>
  <cp:lastModifiedBy>M437</cp:lastModifiedBy>
  <dcterms:modified xsi:type="dcterms:W3CDTF">2022-10-28T06:53:14Z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1E425CC34C2D410C98BA072C84327A76</vt:lpwstr>
  </property>
</Properties>
</file>